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D7BEB" w14:textId="77777777" w:rsidR="00E7342E" w:rsidRDefault="00E7342E" w:rsidP="00AF1FFA">
      <w:pPr>
        <w:jc w:val="center"/>
        <w:rPr>
          <w:rFonts w:ascii="Arial" w:hAnsi="Arial" w:cs="Arial"/>
          <w:b/>
        </w:rPr>
      </w:pPr>
    </w:p>
    <w:p w14:paraId="124AFF9A" w14:textId="27279AD3" w:rsidR="009B6884" w:rsidRPr="00A417FD" w:rsidRDefault="009B6884" w:rsidP="00AF1FFA">
      <w:pPr>
        <w:jc w:val="center"/>
        <w:rPr>
          <w:rFonts w:ascii="Arial" w:hAnsi="Arial" w:cs="Arial"/>
          <w:b/>
        </w:rPr>
      </w:pPr>
      <w:r w:rsidRPr="00A417FD">
        <w:rPr>
          <w:rFonts w:ascii="Arial" w:hAnsi="Arial" w:cs="Arial"/>
          <w:b/>
        </w:rPr>
        <w:t>TLC: Talk, Listen, Change</w:t>
      </w:r>
    </w:p>
    <w:p w14:paraId="672A6659" w14:textId="77777777" w:rsidR="009B6884" w:rsidRPr="00A417FD" w:rsidRDefault="009B6884" w:rsidP="00730238">
      <w:pPr>
        <w:jc w:val="center"/>
        <w:rPr>
          <w:rFonts w:ascii="Arial" w:hAnsi="Arial" w:cs="Arial"/>
        </w:rPr>
      </w:pPr>
    </w:p>
    <w:p w14:paraId="44817F67" w14:textId="77777777" w:rsidR="00730238" w:rsidRPr="00A417FD" w:rsidRDefault="009B6884" w:rsidP="00730238">
      <w:pPr>
        <w:jc w:val="center"/>
        <w:rPr>
          <w:rFonts w:ascii="Arial" w:hAnsi="Arial" w:cs="Arial"/>
          <w:b/>
        </w:rPr>
      </w:pPr>
      <w:r w:rsidRPr="00A417FD">
        <w:rPr>
          <w:rFonts w:ascii="Arial" w:hAnsi="Arial" w:cs="Arial"/>
          <w:b/>
        </w:rPr>
        <w:t>Role Profile</w:t>
      </w:r>
    </w:p>
    <w:p w14:paraId="0A37501D" w14:textId="77777777" w:rsidR="00730238" w:rsidRPr="00A417FD" w:rsidRDefault="00730238" w:rsidP="00A42926">
      <w:pPr>
        <w:jc w:val="both"/>
        <w:rPr>
          <w:rFonts w:ascii="Arial" w:hAnsi="Arial" w:cs="Arial"/>
        </w:rPr>
      </w:pPr>
    </w:p>
    <w:p w14:paraId="5DAB6C7B" w14:textId="77777777" w:rsidR="00730238" w:rsidRPr="00A417FD" w:rsidRDefault="00730238" w:rsidP="00A42926">
      <w:pPr>
        <w:jc w:val="both"/>
        <w:rPr>
          <w:rFonts w:ascii="Arial" w:hAnsi="Arial" w:cs="Arial"/>
        </w:rPr>
      </w:pPr>
    </w:p>
    <w:p w14:paraId="050F5AF6" w14:textId="6D329128" w:rsidR="001F7753" w:rsidRPr="00A417FD" w:rsidRDefault="00730238" w:rsidP="001F7753">
      <w:pPr>
        <w:ind w:left="2160" w:hanging="2160"/>
        <w:jc w:val="both"/>
        <w:rPr>
          <w:rFonts w:ascii="Arial" w:hAnsi="Arial" w:cs="Arial"/>
        </w:rPr>
      </w:pPr>
      <w:r w:rsidRPr="00A417FD">
        <w:rPr>
          <w:rFonts w:ascii="Arial" w:hAnsi="Arial" w:cs="Arial"/>
          <w:b/>
        </w:rPr>
        <w:t>Job Title:</w:t>
      </w:r>
      <w:r>
        <w:tab/>
      </w:r>
      <w:r w:rsidR="001F7753">
        <w:rPr>
          <w:rFonts w:ascii="Arial" w:hAnsi="Arial" w:cs="Arial"/>
        </w:rPr>
        <w:t>Partnerships Manager</w:t>
      </w:r>
      <w:r w:rsidR="00716F99">
        <w:rPr>
          <w:rFonts w:ascii="Arial" w:hAnsi="Arial" w:cs="Arial"/>
        </w:rPr>
        <w:t xml:space="preserve"> </w:t>
      </w:r>
      <w:r w:rsidR="001F7753">
        <w:rPr>
          <w:rFonts w:ascii="Arial" w:hAnsi="Arial" w:cs="Arial"/>
        </w:rPr>
        <w:t>(</w:t>
      </w:r>
      <w:r w:rsidR="004D712D">
        <w:rPr>
          <w:rFonts w:ascii="Arial" w:hAnsi="Arial" w:cs="Arial"/>
        </w:rPr>
        <w:t>South</w:t>
      </w:r>
      <w:r w:rsidR="001F7753">
        <w:rPr>
          <w:rFonts w:ascii="Arial" w:hAnsi="Arial" w:cs="Arial"/>
        </w:rPr>
        <w:t>)</w:t>
      </w:r>
    </w:p>
    <w:p w14:paraId="02EB378F" w14:textId="77777777" w:rsidR="00770FB3" w:rsidRPr="00A417FD" w:rsidRDefault="00770FB3" w:rsidP="008B360D">
      <w:pPr>
        <w:pStyle w:val="DefaultText"/>
        <w:rPr>
          <w:rFonts w:ascii="Arial" w:hAnsi="Arial" w:cs="Arial"/>
          <w:b/>
          <w:szCs w:val="24"/>
        </w:rPr>
      </w:pPr>
    </w:p>
    <w:p w14:paraId="093D9EEF" w14:textId="25CE1B23" w:rsidR="00D86B25" w:rsidRPr="00A417FD" w:rsidRDefault="00D86B25" w:rsidP="0B7CF6DE">
      <w:pPr>
        <w:pStyle w:val="DefaultText"/>
        <w:rPr>
          <w:rFonts w:ascii="Arial" w:hAnsi="Arial" w:cs="Arial"/>
          <w:szCs w:val="24"/>
        </w:rPr>
      </w:pPr>
      <w:r w:rsidRPr="00A417FD">
        <w:rPr>
          <w:rFonts w:ascii="Arial" w:hAnsi="Arial" w:cs="Arial"/>
          <w:b/>
          <w:bCs/>
          <w:szCs w:val="24"/>
        </w:rPr>
        <w:t>Salary</w:t>
      </w:r>
      <w:r w:rsidR="00A42926" w:rsidRPr="00A417FD">
        <w:rPr>
          <w:rFonts w:ascii="Arial" w:hAnsi="Arial" w:cs="Arial"/>
          <w:b/>
          <w:bCs/>
          <w:szCs w:val="24"/>
        </w:rPr>
        <w:t>:</w:t>
      </w:r>
      <w:r w:rsidRPr="00A417FD">
        <w:rPr>
          <w:rFonts w:ascii="Arial" w:hAnsi="Arial" w:cs="Arial"/>
          <w:szCs w:val="24"/>
        </w:rPr>
        <w:tab/>
      </w:r>
      <w:r w:rsidRPr="00A417FD">
        <w:rPr>
          <w:rFonts w:ascii="Arial" w:hAnsi="Arial" w:cs="Arial"/>
          <w:szCs w:val="24"/>
        </w:rPr>
        <w:tab/>
      </w:r>
      <w:r w:rsidR="4BCCC60A" w:rsidRPr="005B26D2">
        <w:rPr>
          <w:rFonts w:ascii="Arial" w:eastAsia="Arial" w:hAnsi="Arial" w:cs="Arial"/>
          <w:color w:val="000000" w:themeColor="text1"/>
          <w:szCs w:val="24"/>
        </w:rPr>
        <w:t xml:space="preserve">Grade </w:t>
      </w:r>
      <w:r w:rsidR="00CD6DA2" w:rsidRPr="005B26D2">
        <w:rPr>
          <w:rFonts w:ascii="Arial" w:eastAsia="Arial" w:hAnsi="Arial" w:cs="Arial"/>
          <w:color w:val="000000" w:themeColor="text1"/>
          <w:szCs w:val="24"/>
        </w:rPr>
        <w:t>5 (</w:t>
      </w:r>
      <w:r w:rsidR="00615D72" w:rsidRPr="005B26D2">
        <w:rPr>
          <w:rFonts w:ascii="Arial" w:eastAsia="Arial" w:hAnsi="Arial" w:cs="Arial"/>
          <w:color w:val="000000" w:themeColor="text1"/>
          <w:szCs w:val="24"/>
        </w:rPr>
        <w:t>£3</w:t>
      </w:r>
      <w:r w:rsidR="003B2FAD">
        <w:rPr>
          <w:rFonts w:ascii="Arial" w:eastAsia="Arial" w:hAnsi="Arial" w:cs="Arial"/>
          <w:color w:val="000000" w:themeColor="text1"/>
          <w:szCs w:val="24"/>
        </w:rPr>
        <w:t xml:space="preserve">3,285 </w:t>
      </w:r>
      <w:r w:rsidR="00991339">
        <w:rPr>
          <w:rFonts w:ascii="Arial" w:eastAsia="Arial" w:hAnsi="Arial" w:cs="Arial"/>
          <w:color w:val="000000" w:themeColor="text1"/>
          <w:szCs w:val="24"/>
        </w:rPr>
        <w:t xml:space="preserve">- </w:t>
      </w:r>
      <w:r w:rsidR="00F065AE" w:rsidRPr="005B26D2">
        <w:rPr>
          <w:rFonts w:ascii="Arial" w:eastAsia="Arial" w:hAnsi="Arial" w:cs="Arial"/>
          <w:color w:val="000000" w:themeColor="text1"/>
          <w:szCs w:val="24"/>
        </w:rPr>
        <w:t>£</w:t>
      </w:r>
      <w:r w:rsidR="003B2FAD">
        <w:rPr>
          <w:rFonts w:ascii="Arial" w:eastAsia="Arial" w:hAnsi="Arial" w:cs="Arial"/>
          <w:color w:val="000000" w:themeColor="text1"/>
          <w:szCs w:val="24"/>
        </w:rPr>
        <w:t>39,076</w:t>
      </w:r>
      <w:r w:rsidR="00CD6DA2" w:rsidRPr="005B26D2">
        <w:rPr>
          <w:rFonts w:ascii="Arial" w:eastAsia="Arial" w:hAnsi="Arial" w:cs="Arial"/>
          <w:color w:val="000000" w:themeColor="text1"/>
          <w:szCs w:val="24"/>
        </w:rPr>
        <w:t>)</w:t>
      </w:r>
      <w:r w:rsidR="4BCCC60A" w:rsidRPr="005B26D2">
        <w:rPr>
          <w:rFonts w:ascii="Arial" w:eastAsia="Arial" w:hAnsi="Arial" w:cs="Arial"/>
          <w:color w:val="000000" w:themeColor="text1"/>
          <w:szCs w:val="24"/>
        </w:rPr>
        <w:t xml:space="preserve"> per annum</w:t>
      </w:r>
    </w:p>
    <w:p w14:paraId="6A05A809" w14:textId="77777777" w:rsidR="00A6785C" w:rsidRPr="00A417FD" w:rsidRDefault="00A6785C" w:rsidP="00A42926">
      <w:pPr>
        <w:jc w:val="both"/>
        <w:rPr>
          <w:rFonts w:ascii="Arial" w:hAnsi="Arial" w:cs="Arial"/>
          <w:spacing w:val="-3"/>
        </w:rPr>
      </w:pPr>
    </w:p>
    <w:p w14:paraId="4A1B7F5A" w14:textId="77777777" w:rsidR="00A6785C" w:rsidRPr="00A417FD" w:rsidRDefault="00A6785C" w:rsidP="00A42926">
      <w:pPr>
        <w:jc w:val="both"/>
        <w:rPr>
          <w:rFonts w:ascii="Arial" w:hAnsi="Arial" w:cs="Arial"/>
          <w:spacing w:val="-3"/>
        </w:rPr>
      </w:pPr>
      <w:r w:rsidRPr="00A417FD">
        <w:rPr>
          <w:rFonts w:ascii="Arial" w:hAnsi="Arial" w:cs="Arial"/>
          <w:b/>
          <w:bCs/>
          <w:spacing w:val="-3"/>
        </w:rPr>
        <w:t>Hours:</w:t>
      </w:r>
      <w:r w:rsidRPr="00A417FD">
        <w:rPr>
          <w:rFonts w:ascii="Arial" w:hAnsi="Arial" w:cs="Arial"/>
          <w:spacing w:val="-3"/>
        </w:rPr>
        <w:t xml:space="preserve"> </w:t>
      </w:r>
      <w:r w:rsidRPr="00A417FD">
        <w:rPr>
          <w:rFonts w:ascii="Arial" w:hAnsi="Arial" w:cs="Arial"/>
          <w:spacing w:val="-3"/>
        </w:rPr>
        <w:tab/>
      </w:r>
      <w:r w:rsidRPr="00A417FD">
        <w:rPr>
          <w:rFonts w:ascii="Arial" w:hAnsi="Arial" w:cs="Arial"/>
          <w:spacing w:val="-3"/>
        </w:rPr>
        <w:tab/>
      </w:r>
      <w:r w:rsidR="009B6884" w:rsidRPr="00A417FD">
        <w:rPr>
          <w:rFonts w:ascii="Arial" w:hAnsi="Arial" w:cs="Arial"/>
          <w:spacing w:val="-3"/>
        </w:rPr>
        <w:t>Full-time, 37 hours per week.</w:t>
      </w:r>
    </w:p>
    <w:p w14:paraId="389B3B5B" w14:textId="76B68100" w:rsidR="00A6785C" w:rsidRPr="00A417FD" w:rsidRDefault="00A6785C" w:rsidP="466FC1A3">
      <w:pPr>
        <w:jc w:val="both"/>
        <w:rPr>
          <w:rFonts w:ascii="Arial" w:hAnsi="Arial" w:cs="Arial"/>
        </w:rPr>
      </w:pPr>
    </w:p>
    <w:p w14:paraId="5A39BBE3" w14:textId="0B9F3B4D" w:rsidR="00A6785C" w:rsidRPr="00A417FD" w:rsidRDefault="21780082" w:rsidP="466FC1A3">
      <w:pPr>
        <w:spacing w:after="200" w:line="276" w:lineRule="auto"/>
        <w:ind w:left="2160"/>
        <w:rPr>
          <w:rFonts w:ascii="Arial" w:eastAsia="Arial" w:hAnsi="Arial" w:cs="Arial"/>
          <w:spacing w:val="-3"/>
        </w:rPr>
      </w:pPr>
      <w:r w:rsidRPr="00A417FD">
        <w:rPr>
          <w:rFonts w:ascii="Arial" w:eastAsia="Arial" w:hAnsi="Arial" w:cs="Arial"/>
          <w:color w:val="000000" w:themeColor="text1"/>
        </w:rPr>
        <w:t xml:space="preserve">We offer a range of flexible working </w:t>
      </w:r>
      <w:r w:rsidR="00F26196" w:rsidRPr="00A417FD">
        <w:rPr>
          <w:rFonts w:ascii="Arial" w:eastAsia="Arial" w:hAnsi="Arial" w:cs="Arial"/>
          <w:color w:val="000000" w:themeColor="text1"/>
        </w:rPr>
        <w:t xml:space="preserve">arrangements, </w:t>
      </w:r>
      <w:r w:rsidR="00F26196">
        <w:rPr>
          <w:rFonts w:ascii="Arial" w:eastAsia="Arial" w:hAnsi="Arial" w:cs="Arial"/>
          <w:color w:val="000000" w:themeColor="text1"/>
        </w:rPr>
        <w:t>including</w:t>
      </w:r>
      <w:r w:rsidRPr="00A417FD">
        <w:rPr>
          <w:rFonts w:ascii="Arial" w:eastAsia="Arial" w:hAnsi="Arial" w:cs="Arial"/>
          <w:color w:val="000000" w:themeColor="text1"/>
        </w:rPr>
        <w:t xml:space="preserve"> hybrid working, condensed or part-time hours, job share and other flexible working arrangements. We encourage our people to work in whichever way helps them to perform at their best.</w:t>
      </w:r>
    </w:p>
    <w:p w14:paraId="31D47165" w14:textId="7D89618F" w:rsidR="009668D5" w:rsidRDefault="5CEB8CCB" w:rsidP="00FA3B49">
      <w:pPr>
        <w:ind w:left="2160" w:hanging="2160"/>
        <w:jc w:val="both"/>
        <w:rPr>
          <w:rFonts w:ascii="Arial" w:hAnsi="Arial" w:cs="Arial"/>
        </w:rPr>
      </w:pPr>
      <w:r w:rsidRPr="3A3A2216">
        <w:rPr>
          <w:rFonts w:ascii="Arial" w:hAnsi="Arial" w:cs="Arial"/>
          <w:b/>
          <w:bCs/>
          <w:spacing w:val="-3"/>
        </w:rPr>
        <w:t>Location</w:t>
      </w:r>
      <w:r w:rsidRPr="00A417FD">
        <w:rPr>
          <w:rFonts w:ascii="Arial" w:hAnsi="Arial" w:cs="Arial"/>
          <w:spacing w:val="-3"/>
        </w:rPr>
        <w:t xml:space="preserve">: </w:t>
      </w:r>
      <w:r w:rsidR="00A6785C" w:rsidRPr="00A417FD">
        <w:rPr>
          <w:rFonts w:ascii="Arial" w:hAnsi="Arial" w:cs="Arial"/>
          <w:spacing w:val="-3"/>
        </w:rPr>
        <w:tab/>
      </w:r>
      <w:r w:rsidR="009668D5" w:rsidRPr="009668D5">
        <w:rPr>
          <w:rFonts w:ascii="Arial" w:hAnsi="Arial" w:cs="Arial"/>
        </w:rPr>
        <w:t>Hybrid, with travel across assigned region (</w:t>
      </w:r>
      <w:r w:rsidR="004D712D">
        <w:rPr>
          <w:rFonts w:ascii="Arial" w:hAnsi="Arial" w:cs="Arial"/>
        </w:rPr>
        <w:t>South</w:t>
      </w:r>
      <w:r w:rsidR="009668D5" w:rsidRPr="009668D5">
        <w:rPr>
          <w:rFonts w:ascii="Arial" w:hAnsi="Arial" w:cs="Arial"/>
        </w:rPr>
        <w:t>)</w:t>
      </w:r>
    </w:p>
    <w:p w14:paraId="434FB682" w14:textId="77777777" w:rsidR="009668D5" w:rsidRPr="009668D5" w:rsidRDefault="009668D5" w:rsidP="009668D5">
      <w:pPr>
        <w:ind w:left="2160"/>
        <w:jc w:val="both"/>
        <w:rPr>
          <w:rFonts w:ascii="Arial" w:eastAsia="Calibri" w:hAnsi="Arial" w:cs="Arial"/>
        </w:rPr>
      </w:pPr>
    </w:p>
    <w:p w14:paraId="22BC45A9" w14:textId="3F71CBEB" w:rsidR="000708FE" w:rsidRPr="000B645A" w:rsidRDefault="000708FE" w:rsidP="000B645A">
      <w:pPr>
        <w:ind w:left="2160"/>
        <w:jc w:val="both"/>
        <w:rPr>
          <w:rFonts w:ascii="Arial" w:eastAsia="Calibri" w:hAnsi="Arial" w:cs="Arial"/>
        </w:rPr>
      </w:pPr>
      <w:r w:rsidRPr="00A417FD">
        <w:rPr>
          <w:rFonts w:ascii="Arial" w:eastAsia="Calibri" w:hAnsi="Arial" w:cs="Arial"/>
        </w:rPr>
        <w:t xml:space="preserve">This role can be home based or in </w:t>
      </w:r>
      <w:r w:rsidR="45928E04" w:rsidRPr="298769E0">
        <w:rPr>
          <w:rFonts w:ascii="Arial" w:eastAsia="Calibri" w:hAnsi="Arial" w:cs="Arial"/>
        </w:rPr>
        <w:t xml:space="preserve">any of </w:t>
      </w:r>
      <w:r w:rsidRPr="00A417FD">
        <w:rPr>
          <w:rFonts w:ascii="Arial" w:eastAsia="Calibri" w:hAnsi="Arial" w:cs="Arial"/>
        </w:rPr>
        <w:t xml:space="preserve">our </w:t>
      </w:r>
      <w:r w:rsidR="45928E04" w:rsidRPr="298769E0">
        <w:rPr>
          <w:rFonts w:ascii="Arial" w:eastAsia="Calibri" w:hAnsi="Arial" w:cs="Arial"/>
        </w:rPr>
        <w:t xml:space="preserve">TLC </w:t>
      </w:r>
      <w:r w:rsidR="000B645A">
        <w:rPr>
          <w:rFonts w:ascii="Arial" w:eastAsia="Calibri" w:hAnsi="Arial" w:cs="Arial"/>
        </w:rPr>
        <w:t xml:space="preserve">group </w:t>
      </w:r>
      <w:r w:rsidR="45928E04" w:rsidRPr="298769E0">
        <w:rPr>
          <w:rFonts w:ascii="Arial" w:eastAsia="Calibri" w:hAnsi="Arial" w:cs="Arial"/>
        </w:rPr>
        <w:t>offices</w:t>
      </w:r>
      <w:r w:rsidR="000B645A">
        <w:rPr>
          <w:rFonts w:ascii="Arial" w:eastAsia="Calibri" w:hAnsi="Arial" w:cs="Arial"/>
        </w:rPr>
        <w:t xml:space="preserve"> </w:t>
      </w:r>
      <w:r w:rsidR="000B645A" w:rsidRPr="000B645A">
        <w:rPr>
          <w:rFonts w:ascii="Arial" w:eastAsia="Calibri" w:hAnsi="Arial" w:cs="Arial"/>
        </w:rPr>
        <w:t>(Bristol, Bath, Enfield, Romford and Worcester)</w:t>
      </w:r>
      <w:r w:rsidR="000B645A">
        <w:rPr>
          <w:rFonts w:ascii="Arial" w:eastAsia="Calibri" w:hAnsi="Arial" w:cs="Arial"/>
        </w:rPr>
        <w:t xml:space="preserve">. </w:t>
      </w:r>
      <w:r w:rsidRPr="00A417FD">
        <w:rPr>
          <w:rFonts w:ascii="Arial" w:eastAsia="Calibri" w:hAnsi="Arial" w:cs="Arial"/>
        </w:rPr>
        <w:t xml:space="preserve">If home based there will be a requirement to travel </w:t>
      </w:r>
      <w:r w:rsidR="0031207F" w:rsidRPr="00A417FD">
        <w:rPr>
          <w:rFonts w:ascii="Arial" w:eastAsia="Calibri" w:hAnsi="Arial" w:cs="Arial"/>
        </w:rPr>
        <w:t>to the office</w:t>
      </w:r>
      <w:r w:rsidRPr="00A417FD">
        <w:rPr>
          <w:rFonts w:ascii="Arial" w:eastAsia="Calibri" w:hAnsi="Arial" w:cs="Arial"/>
        </w:rPr>
        <w:t xml:space="preserve"> for training and meetings. There will also be a requirement to travel across </w:t>
      </w:r>
      <w:r w:rsidR="00A12F5E">
        <w:rPr>
          <w:rFonts w:ascii="Arial" w:eastAsia="Calibri" w:hAnsi="Arial" w:cs="Arial"/>
        </w:rPr>
        <w:t xml:space="preserve">assigned </w:t>
      </w:r>
      <w:r w:rsidR="00A12F5E" w:rsidRPr="01432826">
        <w:rPr>
          <w:rFonts w:ascii="Arial" w:eastAsia="Calibri" w:hAnsi="Arial" w:cs="Arial"/>
        </w:rPr>
        <w:t>region</w:t>
      </w:r>
      <w:r w:rsidR="00584478">
        <w:rPr>
          <w:rFonts w:ascii="Arial" w:eastAsia="Calibri" w:hAnsi="Arial" w:cs="Arial"/>
        </w:rPr>
        <w:t>s</w:t>
      </w:r>
      <w:r w:rsidR="00F67D17" w:rsidRPr="00A417FD">
        <w:rPr>
          <w:rFonts w:ascii="Arial" w:eastAsia="Calibri" w:hAnsi="Arial" w:cs="Arial"/>
        </w:rPr>
        <w:t xml:space="preserve"> to represent the organisation at external meetings and events</w:t>
      </w:r>
      <w:r w:rsidR="000B645A">
        <w:rPr>
          <w:rFonts w:ascii="Arial" w:eastAsia="Calibri" w:hAnsi="Arial" w:cs="Arial"/>
        </w:rPr>
        <w:t xml:space="preserve"> and occasional travel to our Head office in Manchester</w:t>
      </w:r>
      <w:r w:rsidR="00F67D17" w:rsidRPr="00A417FD">
        <w:rPr>
          <w:rFonts w:ascii="Arial" w:eastAsia="Calibri" w:hAnsi="Arial" w:cs="Arial"/>
        </w:rPr>
        <w:t xml:space="preserve">. </w:t>
      </w:r>
    </w:p>
    <w:p w14:paraId="41C8F396" w14:textId="77777777" w:rsidR="00AF319F" w:rsidRPr="00A417FD" w:rsidRDefault="00AF319F" w:rsidP="00FA3B49">
      <w:pPr>
        <w:ind w:left="2160" w:hanging="2160"/>
        <w:jc w:val="both"/>
        <w:rPr>
          <w:rFonts w:ascii="Arial" w:hAnsi="Arial" w:cs="Arial"/>
        </w:rPr>
      </w:pPr>
    </w:p>
    <w:p w14:paraId="3666A3CF" w14:textId="0A68BF34" w:rsidR="00730238" w:rsidRPr="00A417FD" w:rsidRDefault="00730238" w:rsidP="009B6884">
      <w:pPr>
        <w:ind w:left="2160" w:hanging="2160"/>
        <w:jc w:val="both"/>
        <w:rPr>
          <w:rFonts w:ascii="Arial" w:hAnsi="Arial" w:cs="Arial"/>
        </w:rPr>
      </w:pPr>
      <w:r w:rsidRPr="00A417FD">
        <w:rPr>
          <w:rFonts w:ascii="Arial" w:hAnsi="Arial" w:cs="Arial"/>
          <w:b/>
        </w:rPr>
        <w:t>Accountability:</w:t>
      </w:r>
      <w:r w:rsidRPr="00A417FD">
        <w:rPr>
          <w:rFonts w:ascii="Arial" w:hAnsi="Arial" w:cs="Arial"/>
        </w:rPr>
        <w:tab/>
        <w:t xml:space="preserve">To the </w:t>
      </w:r>
      <w:r w:rsidR="003867A0">
        <w:rPr>
          <w:rFonts w:ascii="Arial" w:hAnsi="Arial" w:cs="Arial"/>
        </w:rPr>
        <w:t xml:space="preserve">Group </w:t>
      </w:r>
      <w:r w:rsidR="00164F00">
        <w:rPr>
          <w:rFonts w:ascii="Arial" w:hAnsi="Arial" w:cs="Arial"/>
        </w:rPr>
        <w:t>Partnerships Director</w:t>
      </w:r>
      <w:r w:rsidR="00C76DEB" w:rsidRPr="00A417FD">
        <w:rPr>
          <w:rFonts w:ascii="Arial" w:hAnsi="Arial" w:cs="Arial"/>
        </w:rPr>
        <w:t xml:space="preserve"> </w:t>
      </w:r>
    </w:p>
    <w:p w14:paraId="72A3D3EC" w14:textId="77777777" w:rsidR="009B6884" w:rsidRPr="00A417FD" w:rsidRDefault="009B6884" w:rsidP="009B6884">
      <w:pPr>
        <w:ind w:left="2160" w:hanging="2160"/>
        <w:jc w:val="both"/>
        <w:rPr>
          <w:rFonts w:ascii="Arial" w:hAnsi="Arial" w:cs="Arial"/>
        </w:rPr>
      </w:pPr>
    </w:p>
    <w:p w14:paraId="03309881" w14:textId="03FF0A30" w:rsidR="007A1455" w:rsidRPr="007C4009" w:rsidRDefault="00730238" w:rsidP="007A1455">
      <w:pPr>
        <w:spacing w:after="160" w:line="259" w:lineRule="auto"/>
        <w:ind w:left="2160" w:hanging="2160"/>
        <w:rPr>
          <w:rFonts w:ascii="Arial" w:hAnsi="Arial" w:cs="Arial"/>
        </w:rPr>
      </w:pPr>
      <w:r w:rsidRPr="2F2E78F2">
        <w:rPr>
          <w:rFonts w:ascii="Arial" w:hAnsi="Arial" w:cs="Arial"/>
          <w:b/>
          <w:bCs/>
        </w:rPr>
        <w:t>Job Purpose:</w:t>
      </w:r>
      <w:r>
        <w:tab/>
      </w:r>
      <w:r w:rsidR="007A1455" w:rsidRPr="007C4009">
        <w:rPr>
          <w:rFonts w:ascii="Arial" w:hAnsi="Arial" w:cs="Arial"/>
        </w:rPr>
        <w:t>The Partnership Manager (</w:t>
      </w:r>
      <w:r w:rsidR="000B645A">
        <w:rPr>
          <w:rFonts w:ascii="Arial" w:hAnsi="Arial" w:cs="Arial"/>
        </w:rPr>
        <w:t>South</w:t>
      </w:r>
      <w:r w:rsidR="007A1455" w:rsidRPr="007C4009">
        <w:rPr>
          <w:rFonts w:ascii="Arial" w:hAnsi="Arial" w:cs="Arial"/>
        </w:rPr>
        <w:t xml:space="preserve">) is responsible for leading and nurturing TLC’s regional </w:t>
      </w:r>
      <w:r w:rsidR="145E6768" w:rsidRPr="041D2905">
        <w:rPr>
          <w:rFonts w:ascii="Arial" w:hAnsi="Arial" w:cs="Arial"/>
        </w:rPr>
        <w:t xml:space="preserve">and local </w:t>
      </w:r>
      <w:r w:rsidR="007A1455" w:rsidRPr="041D2905">
        <w:rPr>
          <w:rFonts w:ascii="Arial" w:hAnsi="Arial" w:cs="Arial"/>
        </w:rPr>
        <w:t>partnerships</w:t>
      </w:r>
      <w:r w:rsidR="007A1455" w:rsidRPr="007C4009">
        <w:rPr>
          <w:rFonts w:ascii="Arial" w:hAnsi="Arial" w:cs="Arial"/>
        </w:rPr>
        <w:t>, acting as the organisation’s primary regional partnership lead and representative across their geography. </w:t>
      </w:r>
    </w:p>
    <w:p w14:paraId="7A573792" w14:textId="77777777" w:rsidR="007A1455" w:rsidRPr="007C4009" w:rsidRDefault="007A1455" w:rsidP="007A1455">
      <w:pPr>
        <w:spacing w:after="160" w:line="259" w:lineRule="auto"/>
        <w:ind w:left="2160"/>
        <w:rPr>
          <w:rFonts w:ascii="Arial" w:hAnsi="Arial" w:cs="Arial"/>
        </w:rPr>
      </w:pPr>
      <w:r w:rsidRPr="007C4009">
        <w:rPr>
          <w:rFonts w:ascii="Arial" w:hAnsi="Arial" w:cs="Arial"/>
        </w:rPr>
        <w:t>The role focuses on partnership effectiveness, system intelligence and opportunity, ensuring TLC is well positioned within local systems, collaborations and funding environments. Partnership Managers play a critical role in supporting growth and deepening the impact of TLC’s service provision in local communities. The role will involve translating regional insight into organisational learning, working closely with the Development team to shape visibility, influencing and policy priorities. </w:t>
      </w:r>
    </w:p>
    <w:p w14:paraId="73961E27" w14:textId="7EFBCA68" w:rsidR="00980EF6" w:rsidRPr="00A417FD" w:rsidRDefault="00980EF6" w:rsidP="00980EF6">
      <w:pPr>
        <w:ind w:left="2160" w:hanging="2160"/>
        <w:jc w:val="both"/>
        <w:rPr>
          <w:rFonts w:ascii="Arial" w:hAnsi="Arial" w:cs="Arial"/>
        </w:rPr>
      </w:pPr>
    </w:p>
    <w:p w14:paraId="0D0B940D" w14:textId="77777777" w:rsidR="00976744" w:rsidRPr="00A417FD" w:rsidRDefault="00976744" w:rsidP="00980EF6">
      <w:pPr>
        <w:ind w:left="2160" w:hanging="2160"/>
        <w:jc w:val="both"/>
        <w:rPr>
          <w:rFonts w:ascii="Arial" w:hAnsi="Arial" w:cs="Arial"/>
        </w:rPr>
      </w:pPr>
    </w:p>
    <w:p w14:paraId="19E0138F" w14:textId="4A707622" w:rsidR="00FA3B49" w:rsidRPr="00A417FD" w:rsidRDefault="00976744" w:rsidP="00636BE8">
      <w:pPr>
        <w:ind w:left="2160" w:hanging="2160"/>
        <w:jc w:val="both"/>
        <w:rPr>
          <w:rFonts w:ascii="Arial" w:hAnsi="Arial" w:cs="Arial"/>
          <w:bCs/>
        </w:rPr>
      </w:pPr>
      <w:r w:rsidRPr="00A417FD">
        <w:rPr>
          <w:rFonts w:ascii="Arial" w:hAnsi="Arial" w:cs="Arial"/>
          <w:b/>
        </w:rPr>
        <w:t>Direct Reports:</w:t>
      </w:r>
      <w:r w:rsidRPr="00A417FD">
        <w:rPr>
          <w:rFonts w:ascii="Arial" w:hAnsi="Arial" w:cs="Arial"/>
          <w:b/>
        </w:rPr>
        <w:tab/>
      </w:r>
      <w:r w:rsidR="00636BE8" w:rsidRPr="00A417FD">
        <w:rPr>
          <w:rFonts w:ascii="Arial" w:hAnsi="Arial" w:cs="Arial"/>
        </w:rPr>
        <w:t xml:space="preserve">None </w:t>
      </w:r>
    </w:p>
    <w:p w14:paraId="29D6B04F" w14:textId="77777777" w:rsidR="00976744" w:rsidRPr="00A417FD" w:rsidRDefault="00BB7C07" w:rsidP="00E7562B">
      <w:pPr>
        <w:ind w:left="2160" w:hanging="2160"/>
        <w:jc w:val="both"/>
        <w:rPr>
          <w:rFonts w:ascii="Arial" w:hAnsi="Arial" w:cs="Arial"/>
          <w:bCs/>
        </w:rPr>
      </w:pPr>
      <w:r w:rsidRPr="00A417FD">
        <w:rPr>
          <w:rFonts w:ascii="Arial" w:hAnsi="Arial" w:cs="Arial"/>
          <w:bCs/>
        </w:rPr>
        <w:tab/>
      </w:r>
      <w:r w:rsidR="00976744" w:rsidRPr="00A417FD">
        <w:rPr>
          <w:rFonts w:ascii="Arial" w:hAnsi="Arial" w:cs="Arial"/>
          <w:b/>
        </w:rPr>
        <w:t xml:space="preserve"> </w:t>
      </w:r>
    </w:p>
    <w:p w14:paraId="0E27B00A" w14:textId="77777777" w:rsidR="00A42926" w:rsidRPr="00A417FD" w:rsidRDefault="00A42926" w:rsidP="00A42926">
      <w:pPr>
        <w:jc w:val="both"/>
        <w:rPr>
          <w:rFonts w:ascii="Arial" w:hAnsi="Arial" w:cs="Arial"/>
        </w:rPr>
      </w:pPr>
    </w:p>
    <w:p w14:paraId="15C51569" w14:textId="77777777" w:rsidR="00730238" w:rsidRDefault="00730238" w:rsidP="00A42926">
      <w:pPr>
        <w:jc w:val="both"/>
        <w:rPr>
          <w:rFonts w:ascii="Arial" w:hAnsi="Arial" w:cs="Arial"/>
          <w:b/>
        </w:rPr>
      </w:pPr>
      <w:r w:rsidRPr="00A417FD">
        <w:rPr>
          <w:rFonts w:ascii="Arial" w:hAnsi="Arial" w:cs="Arial"/>
          <w:b/>
        </w:rPr>
        <w:t>Key Responsibilities:</w:t>
      </w:r>
    </w:p>
    <w:p w14:paraId="16385986" w14:textId="006ECD36" w:rsidR="00B865C3" w:rsidRPr="007C4009" w:rsidRDefault="00B865C3" w:rsidP="00B865C3">
      <w:pPr>
        <w:spacing w:after="160" w:line="259" w:lineRule="auto"/>
        <w:rPr>
          <w:rFonts w:ascii="Arial" w:hAnsi="Arial" w:cs="Arial"/>
        </w:rPr>
      </w:pPr>
      <w:r w:rsidRPr="007C4009">
        <w:rPr>
          <w:rFonts w:ascii="Arial" w:hAnsi="Arial" w:cs="Arial"/>
          <w:lang w:val="en-US"/>
        </w:rPr>
        <w:tab/>
      </w:r>
    </w:p>
    <w:p w14:paraId="12CA2881" w14:textId="0C4E5A07" w:rsidR="009B40A8" w:rsidRDefault="00B865C3" w:rsidP="009B40A8">
      <w:pPr>
        <w:numPr>
          <w:ilvl w:val="0"/>
          <w:numId w:val="4"/>
        </w:numPr>
        <w:rPr>
          <w:rFonts w:ascii="Arial" w:hAnsi="Arial" w:cs="Arial"/>
        </w:rPr>
      </w:pPr>
      <w:bookmarkStart w:id="0" w:name="_Hlk99713151"/>
      <w:r w:rsidRPr="007C4009">
        <w:rPr>
          <w:rFonts w:ascii="Arial" w:hAnsi="Arial" w:cs="Arial"/>
        </w:rPr>
        <w:t xml:space="preserve">Lead TLC’s regional </w:t>
      </w:r>
      <w:r w:rsidR="43540A46" w:rsidRPr="2BC55D95">
        <w:rPr>
          <w:rFonts w:ascii="Arial" w:hAnsi="Arial" w:cs="Arial"/>
        </w:rPr>
        <w:t xml:space="preserve">and local </w:t>
      </w:r>
      <w:r w:rsidRPr="2BC55D95">
        <w:rPr>
          <w:rFonts w:ascii="Arial" w:hAnsi="Arial" w:cs="Arial"/>
        </w:rPr>
        <w:t>partnership</w:t>
      </w:r>
      <w:r w:rsidRPr="007C4009">
        <w:rPr>
          <w:rFonts w:ascii="Arial" w:hAnsi="Arial" w:cs="Arial"/>
        </w:rPr>
        <w:t xml:space="preserve"> strategy for the South, aligned to the national priorities set by the Group Partnerships Director.</w:t>
      </w:r>
      <w:r w:rsidR="608C088C" w:rsidRPr="655467CB">
        <w:rPr>
          <w:rFonts w:ascii="Arial" w:hAnsi="Arial" w:cs="Arial"/>
        </w:rPr>
        <w:t xml:space="preserve"> </w:t>
      </w:r>
    </w:p>
    <w:p w14:paraId="11E00C3E" w14:textId="77777777" w:rsidR="009B40A8" w:rsidRDefault="009B40A8" w:rsidP="009B40A8">
      <w:pPr>
        <w:ind w:left="720"/>
        <w:rPr>
          <w:rFonts w:ascii="Arial" w:hAnsi="Arial" w:cs="Arial"/>
        </w:rPr>
      </w:pPr>
    </w:p>
    <w:p w14:paraId="68A3950A" w14:textId="47CC5226" w:rsidR="009B40A8" w:rsidRPr="009B40A8" w:rsidRDefault="009B40A8" w:rsidP="009B40A8">
      <w:pPr>
        <w:numPr>
          <w:ilvl w:val="0"/>
          <w:numId w:val="4"/>
        </w:numPr>
        <w:rPr>
          <w:rFonts w:ascii="Arial" w:hAnsi="Arial" w:cs="Arial"/>
        </w:rPr>
      </w:pPr>
      <w:r w:rsidRPr="009B40A8">
        <w:rPr>
          <w:rFonts w:ascii="Arial" w:hAnsi="Arial" w:cs="Arial"/>
        </w:rPr>
        <w:t>Build, maintain and deepen trusted relationships with commissioners, system partners, funders, VCSE organisations and strategic alliances, monitoring relationship effectiveness and flagging risks, opportunities and gaps.</w:t>
      </w:r>
    </w:p>
    <w:p w14:paraId="4731A757" w14:textId="020A22F8" w:rsidR="00B865C3" w:rsidRPr="00B865C3" w:rsidRDefault="00B865C3" w:rsidP="298769E0">
      <w:pPr>
        <w:ind w:left="720"/>
        <w:rPr>
          <w:rFonts w:ascii="Arial" w:hAnsi="Arial" w:cs="Arial"/>
        </w:rPr>
      </w:pPr>
    </w:p>
    <w:p w14:paraId="6850C78C" w14:textId="44D39930" w:rsidR="5E8C6219" w:rsidRDefault="5E8C6219" w:rsidP="298769E0">
      <w:pPr>
        <w:numPr>
          <w:ilvl w:val="0"/>
          <w:numId w:val="4"/>
        </w:numPr>
        <w:rPr>
          <w:rFonts w:ascii="Arial" w:eastAsia="Arial" w:hAnsi="Arial" w:cs="Arial"/>
        </w:rPr>
      </w:pPr>
      <w:r w:rsidRPr="298769E0">
        <w:rPr>
          <w:rFonts w:ascii="Arial" w:eastAsia="Arial" w:hAnsi="Arial" w:cs="Arial"/>
        </w:rPr>
        <w:t xml:space="preserve">Maintain accurate, timely and high‑quality records of regional partnerships and stakeholder engagement within TLC’s CRM system, ensuring relationship activity, intelligence, risks and opportunities are consistently captured to inform reporting, strategic decision‑making and organisational </w:t>
      </w:r>
      <w:r w:rsidR="00F26196" w:rsidRPr="298769E0">
        <w:rPr>
          <w:rFonts w:ascii="Arial" w:eastAsia="Arial" w:hAnsi="Arial" w:cs="Arial"/>
        </w:rPr>
        <w:t>learning.</w:t>
      </w:r>
    </w:p>
    <w:p w14:paraId="7AB8CA44" w14:textId="43FC14CA" w:rsidR="298769E0" w:rsidRDefault="298769E0" w:rsidP="298769E0">
      <w:pPr>
        <w:ind w:left="720"/>
        <w:rPr>
          <w:rFonts w:ascii="Arial" w:hAnsi="Arial" w:cs="Arial"/>
        </w:rPr>
      </w:pPr>
    </w:p>
    <w:p w14:paraId="556D705B" w14:textId="555DE935" w:rsidR="00B865C3" w:rsidRPr="00B865C3" w:rsidRDefault="00B865C3" w:rsidP="00B865C3">
      <w:pPr>
        <w:numPr>
          <w:ilvl w:val="0"/>
          <w:numId w:val="4"/>
        </w:numPr>
        <w:rPr>
          <w:rFonts w:ascii="Arial" w:hAnsi="Arial" w:cs="Arial"/>
        </w:rPr>
      </w:pPr>
      <w:r w:rsidRPr="007C4009">
        <w:rPr>
          <w:rFonts w:ascii="Arial" w:hAnsi="Arial" w:cs="Arial"/>
        </w:rPr>
        <w:t>Ensure TLC has appropriate coverage,</w:t>
      </w:r>
      <w:r w:rsidR="00503C75">
        <w:rPr>
          <w:rFonts w:ascii="Arial" w:hAnsi="Arial" w:cs="Arial"/>
        </w:rPr>
        <w:t xml:space="preserve"> </w:t>
      </w:r>
      <w:r w:rsidRPr="007C4009">
        <w:rPr>
          <w:rFonts w:ascii="Arial" w:hAnsi="Arial" w:cs="Arial"/>
        </w:rPr>
        <w:t xml:space="preserve">depth </w:t>
      </w:r>
      <w:r w:rsidR="00F26196" w:rsidRPr="007C4009">
        <w:rPr>
          <w:rFonts w:ascii="Arial" w:hAnsi="Arial" w:cs="Arial"/>
        </w:rPr>
        <w:t>an</w:t>
      </w:r>
      <w:r w:rsidR="00F26196">
        <w:rPr>
          <w:rFonts w:ascii="Arial" w:hAnsi="Arial" w:cs="Arial"/>
        </w:rPr>
        <w:t>d presence</w:t>
      </w:r>
      <w:r w:rsidRPr="007C4009">
        <w:rPr>
          <w:rFonts w:ascii="Arial" w:hAnsi="Arial" w:cs="Arial"/>
        </w:rPr>
        <w:t> across priority systems and geographies.</w:t>
      </w:r>
      <w:r w:rsidRPr="007C4009">
        <w:rPr>
          <w:rFonts w:ascii="Arial" w:hAnsi="Arial" w:cs="Arial"/>
          <w:lang w:val="en-US"/>
        </w:rPr>
        <w:t> </w:t>
      </w:r>
    </w:p>
    <w:bookmarkEnd w:id="0"/>
    <w:p w14:paraId="53128261" w14:textId="77777777" w:rsidR="00F9169A" w:rsidRPr="00B865C3" w:rsidRDefault="00F9169A" w:rsidP="009B40A8">
      <w:pPr>
        <w:jc w:val="both"/>
        <w:rPr>
          <w:rFonts w:ascii="Arial" w:hAnsi="Arial" w:cs="Arial"/>
        </w:rPr>
      </w:pPr>
    </w:p>
    <w:p w14:paraId="1D0608B4" w14:textId="4185941F" w:rsidR="00EE578E" w:rsidRDefault="00EE578E" w:rsidP="00EE578E">
      <w:pPr>
        <w:pStyle w:val="ListParagraph"/>
        <w:numPr>
          <w:ilvl w:val="0"/>
          <w:numId w:val="18"/>
        </w:numPr>
        <w:spacing w:line="300" w:lineRule="atLeast"/>
        <w:rPr>
          <w:rFonts w:ascii="Arial" w:eastAsia="Times New Roman" w:hAnsi="Arial" w:cs="Arial"/>
          <w:lang w:eastAsia="en-GB"/>
        </w:rPr>
      </w:pPr>
      <w:r w:rsidRPr="00EE578E">
        <w:rPr>
          <w:rFonts w:ascii="Arial" w:eastAsia="Times New Roman" w:hAnsi="Arial" w:cs="Arial"/>
          <w:lang w:eastAsia="en-GB"/>
        </w:rPr>
        <w:t>Contribute to a culture of excellence and generous collaboration by modelling TLC’s behaviours and values in partnership settings.</w:t>
      </w:r>
    </w:p>
    <w:p w14:paraId="13F20B6D" w14:textId="77777777" w:rsidR="00EE578E" w:rsidRPr="00EE578E" w:rsidRDefault="00EE578E" w:rsidP="00EE578E">
      <w:pPr>
        <w:pStyle w:val="ListParagraph"/>
        <w:spacing w:line="300" w:lineRule="atLeast"/>
        <w:rPr>
          <w:rFonts w:ascii="Arial" w:eastAsia="Times New Roman" w:hAnsi="Arial" w:cs="Arial"/>
          <w:lang w:eastAsia="en-GB"/>
        </w:rPr>
      </w:pPr>
    </w:p>
    <w:p w14:paraId="71DA60A8" w14:textId="7DB7C261" w:rsidR="00AA1A29" w:rsidRPr="00173EBD" w:rsidRDefault="00AA1A29" w:rsidP="008A69A0">
      <w:pPr>
        <w:numPr>
          <w:ilvl w:val="0"/>
          <w:numId w:val="10"/>
        </w:numPr>
        <w:spacing w:after="160" w:line="259" w:lineRule="auto"/>
        <w:rPr>
          <w:rFonts w:ascii="Arial" w:hAnsi="Arial" w:cs="Arial"/>
        </w:rPr>
      </w:pPr>
      <w:r w:rsidRPr="00173EBD">
        <w:rPr>
          <w:rFonts w:ascii="Arial" w:hAnsi="Arial" w:cs="Arial"/>
        </w:rPr>
        <w:t>Coordinate and support the</w:t>
      </w:r>
      <w:r w:rsidR="00173EBD">
        <w:rPr>
          <w:rFonts w:ascii="Arial" w:hAnsi="Arial" w:cs="Arial"/>
        </w:rPr>
        <w:t xml:space="preserve"> TLC</w:t>
      </w:r>
      <w:r w:rsidRPr="00173EBD">
        <w:rPr>
          <w:rFonts w:ascii="Arial" w:hAnsi="Arial" w:cs="Arial"/>
        </w:rPr>
        <w:t xml:space="preserve"> </w:t>
      </w:r>
      <w:r w:rsidRPr="00173EBD">
        <w:rPr>
          <w:rFonts w:ascii="Arial" w:hAnsi="Arial" w:cs="Arial"/>
          <w:b/>
          <w:bCs/>
        </w:rPr>
        <w:t>Champions Network</w:t>
      </w:r>
      <w:r w:rsidRPr="00173EBD">
        <w:rPr>
          <w:rFonts w:ascii="Arial" w:hAnsi="Arial" w:cs="Arial"/>
        </w:rPr>
        <w:t xml:space="preserve"> within the assigned region.</w:t>
      </w:r>
      <w:r w:rsidR="008A69A0" w:rsidRPr="00173EBD">
        <w:rPr>
          <w:rFonts w:ascii="Arial" w:hAnsi="Arial" w:cs="Arial"/>
        </w:rPr>
        <w:t xml:space="preserve"> </w:t>
      </w:r>
      <w:r w:rsidRPr="00173EBD">
        <w:rPr>
          <w:rFonts w:ascii="Arial" w:hAnsi="Arial" w:cs="Arial"/>
        </w:rPr>
        <w:t>Ensure Champions:</w:t>
      </w:r>
    </w:p>
    <w:p w14:paraId="61BB01EB" w14:textId="77777777" w:rsidR="00AA1A29" w:rsidRPr="00173EBD" w:rsidRDefault="00AA1A29" w:rsidP="00AA1A29">
      <w:pPr>
        <w:numPr>
          <w:ilvl w:val="1"/>
          <w:numId w:val="10"/>
        </w:numPr>
        <w:spacing w:after="160" w:line="259" w:lineRule="auto"/>
        <w:rPr>
          <w:rFonts w:ascii="Arial" w:hAnsi="Arial" w:cs="Arial"/>
        </w:rPr>
      </w:pPr>
      <w:r w:rsidRPr="00173EBD">
        <w:rPr>
          <w:rFonts w:ascii="Arial" w:hAnsi="Arial" w:cs="Arial"/>
        </w:rPr>
        <w:t>Represent TLC consistently using shared language and values</w:t>
      </w:r>
    </w:p>
    <w:p w14:paraId="5E457BFF" w14:textId="77777777" w:rsidR="00AA1A29" w:rsidRPr="00173EBD" w:rsidRDefault="00AA1A29" w:rsidP="00AA1A29">
      <w:pPr>
        <w:numPr>
          <w:ilvl w:val="1"/>
          <w:numId w:val="10"/>
        </w:numPr>
        <w:spacing w:after="160" w:line="259" w:lineRule="auto"/>
        <w:rPr>
          <w:rFonts w:ascii="Arial" w:hAnsi="Arial" w:cs="Arial"/>
        </w:rPr>
      </w:pPr>
      <w:r w:rsidRPr="00173EBD">
        <w:rPr>
          <w:rFonts w:ascii="Arial" w:hAnsi="Arial" w:cs="Arial"/>
        </w:rPr>
        <w:t>Feel supported, briefed and connected</w:t>
      </w:r>
    </w:p>
    <w:p w14:paraId="3A3FE9BC" w14:textId="34A3AB5A" w:rsidR="00AA1A29" w:rsidRPr="00173EBD" w:rsidRDefault="00AA1A29" w:rsidP="00173EBD">
      <w:pPr>
        <w:numPr>
          <w:ilvl w:val="1"/>
          <w:numId w:val="10"/>
        </w:numPr>
        <w:spacing w:after="160" w:line="259" w:lineRule="auto"/>
        <w:rPr>
          <w:rFonts w:ascii="Arial" w:hAnsi="Arial" w:cs="Arial"/>
        </w:rPr>
      </w:pPr>
      <w:r w:rsidRPr="00173EBD">
        <w:rPr>
          <w:rFonts w:ascii="Arial" w:hAnsi="Arial" w:cs="Arial"/>
        </w:rPr>
        <w:t>Establish a clear feedback loop:</w:t>
      </w:r>
      <w:r w:rsidR="00173EBD" w:rsidRPr="00173EBD">
        <w:rPr>
          <w:rFonts w:ascii="Arial" w:hAnsi="Arial" w:cs="Arial"/>
        </w:rPr>
        <w:t xml:space="preserve"> </w:t>
      </w:r>
      <w:r w:rsidRPr="00173EBD">
        <w:rPr>
          <w:rFonts w:ascii="Arial" w:hAnsi="Arial" w:cs="Arial"/>
        </w:rPr>
        <w:t>Champions → Partnership Manager → Development &amp; Strategic Partnerships</w:t>
      </w:r>
    </w:p>
    <w:p w14:paraId="52CDAE80" w14:textId="0B6EA0F9" w:rsidR="00940191" w:rsidRPr="00C158D8" w:rsidRDefault="00B865C3" w:rsidP="000836E2">
      <w:pPr>
        <w:pStyle w:val="ListParagraph"/>
        <w:numPr>
          <w:ilvl w:val="0"/>
          <w:numId w:val="10"/>
        </w:numPr>
        <w:spacing w:after="160" w:line="259" w:lineRule="auto"/>
        <w:rPr>
          <w:rFonts w:ascii="Arial" w:hAnsi="Arial" w:cs="Arial"/>
        </w:rPr>
      </w:pPr>
      <w:r w:rsidRPr="00B865C3">
        <w:rPr>
          <w:rFonts w:ascii="Arial" w:hAnsi="Arial" w:cs="Arial"/>
        </w:rPr>
        <w:t>Provide regular reports to the Group Partnerships Director about regional activity</w:t>
      </w:r>
      <w:bookmarkStart w:id="1" w:name="_Hlk99713301"/>
      <w:r w:rsidR="00F26196" w:rsidRPr="00B865C3">
        <w:rPr>
          <w:rFonts w:ascii="Arial" w:hAnsi="Arial" w:cs="Arial"/>
        </w:rPr>
        <w:t xml:space="preserve">. </w:t>
      </w:r>
    </w:p>
    <w:p w14:paraId="5A88A8E5" w14:textId="77777777" w:rsidR="000A1D93" w:rsidRDefault="00B925EB" w:rsidP="00990AAC">
      <w:pPr>
        <w:numPr>
          <w:ilvl w:val="0"/>
          <w:numId w:val="10"/>
        </w:numPr>
        <w:jc w:val="both"/>
        <w:rPr>
          <w:rFonts w:ascii="Arial" w:hAnsi="Arial" w:cs="Arial"/>
        </w:rPr>
      </w:pPr>
      <w:r w:rsidRPr="00A417FD">
        <w:rPr>
          <w:rFonts w:ascii="Arial" w:hAnsi="Arial" w:cs="Arial"/>
        </w:rPr>
        <w:t>Identify</w:t>
      </w:r>
      <w:r w:rsidR="00940191" w:rsidRPr="00A417FD">
        <w:rPr>
          <w:rFonts w:ascii="Arial" w:hAnsi="Arial" w:cs="Arial"/>
        </w:rPr>
        <w:t xml:space="preserve"> and secure new partnership opportunities across all sectors. </w:t>
      </w:r>
      <w:r w:rsidR="00AB2BF7" w:rsidRPr="00A417FD">
        <w:rPr>
          <w:rFonts w:ascii="Arial" w:hAnsi="Arial" w:cs="Arial"/>
        </w:rPr>
        <w:t>Foster long-term relationships with high-level stakeholders, ensuring alignment with TLC: Talk, Listen, Change’s vision and objectives.</w:t>
      </w:r>
      <w:bookmarkEnd w:id="1"/>
    </w:p>
    <w:p w14:paraId="4C0EF547" w14:textId="77777777" w:rsidR="000A1D93" w:rsidRDefault="000A1D93" w:rsidP="000A1D93">
      <w:pPr>
        <w:ind w:left="720"/>
        <w:jc w:val="both"/>
        <w:rPr>
          <w:rFonts w:ascii="Arial" w:hAnsi="Arial" w:cs="Arial"/>
        </w:rPr>
      </w:pPr>
    </w:p>
    <w:p w14:paraId="4F74CEAC" w14:textId="541C3E23" w:rsidR="00990AAC" w:rsidRPr="00990AAC" w:rsidRDefault="00990AAC" w:rsidP="00990AAC">
      <w:pPr>
        <w:numPr>
          <w:ilvl w:val="0"/>
          <w:numId w:val="10"/>
        </w:numPr>
        <w:jc w:val="both"/>
        <w:rPr>
          <w:rFonts w:ascii="Arial" w:hAnsi="Arial" w:cs="Arial"/>
        </w:rPr>
      </w:pPr>
      <w:r w:rsidRPr="00990AAC">
        <w:rPr>
          <w:rFonts w:ascii="Arial" w:hAnsi="Arial" w:cs="Arial"/>
        </w:rPr>
        <w:t>Collaborate with the Development team to identify and support opportunities for sponsorship and in</w:t>
      </w:r>
      <w:r w:rsidRPr="00990AAC">
        <w:rPr>
          <w:rFonts w:ascii="Arial" w:hAnsi="Arial" w:cs="Arial"/>
        </w:rPr>
        <w:noBreakHyphen/>
        <w:t>kind support through regional partnerships.</w:t>
      </w:r>
    </w:p>
    <w:p w14:paraId="3D719991" w14:textId="77777777" w:rsidR="00A76A68" w:rsidRPr="00CD2102" w:rsidRDefault="00A76A68" w:rsidP="00624065">
      <w:pPr>
        <w:jc w:val="both"/>
        <w:rPr>
          <w:rFonts w:ascii="Arial" w:hAnsi="Arial" w:cs="Arial"/>
        </w:rPr>
      </w:pPr>
    </w:p>
    <w:p w14:paraId="0FFAB64A" w14:textId="0A6224C2" w:rsidR="00CD2102" w:rsidRPr="00CD2102" w:rsidRDefault="00CD2102" w:rsidP="00CD2102">
      <w:pPr>
        <w:pStyle w:val="ListParagraph"/>
        <w:numPr>
          <w:ilvl w:val="0"/>
          <w:numId w:val="10"/>
        </w:numPr>
        <w:spacing w:line="300" w:lineRule="atLeast"/>
        <w:rPr>
          <w:rFonts w:ascii="Arial" w:eastAsia="Times New Roman" w:hAnsi="Arial" w:cs="Arial"/>
          <w:lang w:eastAsia="en-GB"/>
        </w:rPr>
      </w:pPr>
      <w:r w:rsidRPr="00CD2102">
        <w:rPr>
          <w:rFonts w:ascii="Arial" w:eastAsia="Times New Roman" w:hAnsi="Arial" w:cs="Arial"/>
          <w:lang w:eastAsia="en-GB"/>
        </w:rPr>
        <w:t>Support TLC’s visibility and influence by contributing regional partnership insight and system intelligence into organisational decision</w:t>
      </w:r>
      <w:r w:rsidR="10F1BB37" w:rsidRPr="33C178D7">
        <w:rPr>
          <w:rFonts w:ascii="Arial" w:eastAsia="Times New Roman" w:hAnsi="Arial" w:cs="Arial"/>
          <w:lang w:eastAsia="en-GB"/>
        </w:rPr>
        <w:t xml:space="preserve"> </w:t>
      </w:r>
      <w:r w:rsidRPr="00CD2102">
        <w:rPr>
          <w:rFonts w:ascii="Arial" w:eastAsia="Times New Roman" w:hAnsi="Arial" w:cs="Arial"/>
          <w:lang w:eastAsia="en-GB"/>
        </w:rPr>
        <w:t>making.</w:t>
      </w:r>
    </w:p>
    <w:p w14:paraId="1EEFD2A6" w14:textId="77777777" w:rsidR="00CD2102" w:rsidRPr="00CD2102" w:rsidRDefault="00CD2102" w:rsidP="00CD2102">
      <w:pPr>
        <w:spacing w:line="300" w:lineRule="atLeast"/>
        <w:rPr>
          <w:rFonts w:ascii="Segoe UI" w:eastAsia="Times New Roman" w:hAnsi="Segoe UI" w:cs="Segoe UI"/>
          <w:sz w:val="21"/>
          <w:szCs w:val="21"/>
          <w:lang w:eastAsia="en-GB"/>
        </w:rPr>
      </w:pPr>
    </w:p>
    <w:p w14:paraId="32892EF6" w14:textId="27AC16FD" w:rsidR="003D776C" w:rsidRPr="003D776C" w:rsidRDefault="003D776C" w:rsidP="003D776C">
      <w:pPr>
        <w:numPr>
          <w:ilvl w:val="0"/>
          <w:numId w:val="10"/>
        </w:numPr>
        <w:jc w:val="both"/>
        <w:rPr>
          <w:rFonts w:ascii="Arial" w:hAnsi="Arial" w:cs="Arial"/>
        </w:rPr>
      </w:pPr>
      <w:r w:rsidRPr="003D776C">
        <w:rPr>
          <w:rFonts w:ascii="Arial" w:hAnsi="Arial" w:cs="Arial"/>
        </w:rPr>
        <w:t>Represent TLC as the senior regional partnership lead in relevant external forums.</w:t>
      </w:r>
    </w:p>
    <w:p w14:paraId="2946DB82" w14:textId="2135968F" w:rsidR="00EF4B6A" w:rsidRPr="00A417FD" w:rsidRDefault="00EF4B6A" w:rsidP="2F97E77C">
      <w:pPr>
        <w:ind w:left="720"/>
        <w:jc w:val="both"/>
        <w:rPr>
          <w:rFonts w:ascii="Arial" w:hAnsi="Arial" w:cs="Arial"/>
        </w:rPr>
      </w:pPr>
    </w:p>
    <w:p w14:paraId="465C7CFC" w14:textId="09DFA6BE" w:rsidR="00730238" w:rsidRPr="00A417FD" w:rsidRDefault="00730238" w:rsidP="00B865C3">
      <w:pPr>
        <w:numPr>
          <w:ilvl w:val="0"/>
          <w:numId w:val="10"/>
        </w:numPr>
        <w:jc w:val="both"/>
        <w:rPr>
          <w:rFonts w:ascii="Arial" w:hAnsi="Arial" w:cs="Arial"/>
        </w:rPr>
      </w:pPr>
      <w:r w:rsidRPr="00A417FD">
        <w:rPr>
          <w:rFonts w:ascii="Arial" w:hAnsi="Arial" w:cs="Arial"/>
        </w:rPr>
        <w:lastRenderedPageBreak/>
        <w:t xml:space="preserve">Perform any other duties within the general scope of this job profile or as reasonably required by the </w:t>
      </w:r>
      <w:r w:rsidR="001A037C">
        <w:rPr>
          <w:rFonts w:ascii="Arial" w:hAnsi="Arial" w:cs="Arial"/>
        </w:rPr>
        <w:t xml:space="preserve">Group </w:t>
      </w:r>
      <w:r w:rsidR="0E98FB83" w:rsidRPr="318D9119">
        <w:rPr>
          <w:rFonts w:ascii="Arial" w:hAnsi="Arial" w:cs="Arial"/>
        </w:rPr>
        <w:t xml:space="preserve">Partnerships </w:t>
      </w:r>
      <w:r w:rsidR="0E98FB83" w:rsidRPr="519CCC28">
        <w:rPr>
          <w:rFonts w:ascii="Arial" w:hAnsi="Arial" w:cs="Arial"/>
        </w:rPr>
        <w:t>Director</w:t>
      </w:r>
      <w:r w:rsidRPr="00A417FD">
        <w:rPr>
          <w:rFonts w:ascii="Arial" w:hAnsi="Arial" w:cs="Arial"/>
        </w:rPr>
        <w:t>.</w:t>
      </w:r>
    </w:p>
    <w:p w14:paraId="5997CC1D" w14:textId="77777777" w:rsidR="003D275A" w:rsidRPr="00A417FD" w:rsidRDefault="003D275A" w:rsidP="003D275A">
      <w:pPr>
        <w:pStyle w:val="ListParagraph"/>
        <w:ind w:left="0"/>
        <w:rPr>
          <w:rFonts w:ascii="Arial" w:hAnsi="Arial" w:cs="Arial"/>
        </w:rPr>
      </w:pPr>
    </w:p>
    <w:p w14:paraId="60E94F34" w14:textId="4C6B4EB8" w:rsidR="003D275A" w:rsidRPr="00A417FD" w:rsidRDefault="003D275A" w:rsidP="00B865C3">
      <w:pPr>
        <w:numPr>
          <w:ilvl w:val="0"/>
          <w:numId w:val="10"/>
        </w:numPr>
        <w:jc w:val="both"/>
        <w:rPr>
          <w:rFonts w:ascii="Arial" w:hAnsi="Arial" w:cs="Arial"/>
        </w:rPr>
      </w:pPr>
      <w:r w:rsidRPr="00A417FD">
        <w:rPr>
          <w:rFonts w:ascii="Arial" w:hAnsi="Arial" w:cs="Arial"/>
        </w:rPr>
        <w:t xml:space="preserve">Commit to continuous professional development through engagement in specific </w:t>
      </w:r>
      <w:r w:rsidR="00AF1FFA" w:rsidRPr="00A417FD">
        <w:rPr>
          <w:rFonts w:ascii="Arial" w:hAnsi="Arial" w:cs="Arial"/>
        </w:rPr>
        <w:t xml:space="preserve">opportunities </w:t>
      </w:r>
      <w:r w:rsidRPr="00A417FD">
        <w:rPr>
          <w:rFonts w:ascii="Arial" w:hAnsi="Arial" w:cs="Arial"/>
        </w:rPr>
        <w:t xml:space="preserve">agreed with the </w:t>
      </w:r>
      <w:r w:rsidR="001A037C">
        <w:rPr>
          <w:rFonts w:ascii="Arial" w:hAnsi="Arial" w:cs="Arial"/>
        </w:rPr>
        <w:t xml:space="preserve">Group </w:t>
      </w:r>
      <w:r w:rsidRPr="00A417FD">
        <w:rPr>
          <w:rFonts w:ascii="Arial" w:hAnsi="Arial" w:cs="Arial"/>
        </w:rPr>
        <w:t>Chief Executive</w:t>
      </w:r>
      <w:r w:rsidR="00564643" w:rsidRPr="00A417FD">
        <w:rPr>
          <w:rFonts w:ascii="Arial" w:hAnsi="Arial" w:cs="Arial"/>
        </w:rPr>
        <w:t>.</w:t>
      </w:r>
    </w:p>
    <w:p w14:paraId="110FFD37" w14:textId="77777777" w:rsidR="003D275A" w:rsidRPr="00A417FD" w:rsidRDefault="003D275A" w:rsidP="003D275A">
      <w:pPr>
        <w:jc w:val="both"/>
        <w:rPr>
          <w:rFonts w:ascii="Arial" w:hAnsi="Arial" w:cs="Arial"/>
        </w:rPr>
      </w:pPr>
    </w:p>
    <w:p w14:paraId="3420E760" w14:textId="1F2676F8" w:rsidR="00C158D8" w:rsidRDefault="00C158D8" w:rsidP="00C158D8">
      <w:pPr>
        <w:rPr>
          <w:rFonts w:ascii="Arial" w:hAnsi="Arial" w:cs="Arial"/>
          <w:b/>
          <w:bCs/>
        </w:rPr>
      </w:pPr>
      <w:r w:rsidRPr="00C158D8">
        <w:rPr>
          <w:rFonts w:ascii="Arial" w:hAnsi="Arial" w:cs="Arial"/>
          <w:b/>
          <w:bCs/>
        </w:rPr>
        <w:t xml:space="preserve">Person Specification </w:t>
      </w:r>
    </w:p>
    <w:p w14:paraId="4C49A911" w14:textId="77777777" w:rsidR="00C158D8" w:rsidRPr="00C158D8" w:rsidRDefault="00C158D8" w:rsidP="00C158D8">
      <w:pPr>
        <w:rPr>
          <w:rFonts w:ascii="Arial" w:hAnsi="Arial" w:cs="Arial"/>
          <w:b/>
          <w:bCs/>
        </w:rPr>
      </w:pPr>
    </w:p>
    <w:p w14:paraId="6D5928D6" w14:textId="77777777" w:rsidR="00C158D8" w:rsidRPr="00C158D8" w:rsidRDefault="00C158D8" w:rsidP="00C158D8">
      <w:pPr>
        <w:rPr>
          <w:rFonts w:ascii="Arial" w:hAnsi="Arial" w:cs="Arial"/>
        </w:rPr>
      </w:pPr>
      <w:r w:rsidRPr="00C158D8">
        <w:rPr>
          <w:rFonts w:ascii="Arial" w:hAnsi="Arial" w:cs="Arial"/>
          <w:b/>
          <w:bCs/>
        </w:rPr>
        <w:t>Essential</w:t>
      </w:r>
    </w:p>
    <w:p w14:paraId="03AEBC56" w14:textId="4AE63438" w:rsidR="6B42ED25" w:rsidRPr="00DA6B1A" w:rsidRDefault="6CC37155" w:rsidP="6B42ED25">
      <w:pPr>
        <w:numPr>
          <w:ilvl w:val="0"/>
          <w:numId w:val="15"/>
        </w:numPr>
        <w:spacing w:after="160" w:line="259" w:lineRule="auto"/>
        <w:rPr>
          <w:rFonts w:ascii="Arial" w:eastAsia="Arial" w:hAnsi="Arial" w:cs="Arial"/>
        </w:rPr>
      </w:pPr>
      <w:r w:rsidRPr="00DA6B1A">
        <w:rPr>
          <w:rFonts w:ascii="Arial" w:eastAsia="Arial" w:hAnsi="Arial" w:cs="Arial"/>
        </w:rPr>
        <w:t>Significant experience in partnership development, system working or senior relationship</w:t>
      </w:r>
      <w:r w:rsidRPr="00DA6B1A">
        <w:rPr>
          <w:rFonts w:ascii="Cambria Math" w:eastAsia="Arial" w:hAnsi="Cambria Math" w:cs="Cambria Math"/>
        </w:rPr>
        <w:t>‑</w:t>
      </w:r>
      <w:r w:rsidRPr="00DA6B1A">
        <w:rPr>
          <w:rFonts w:ascii="Arial" w:eastAsia="Arial" w:hAnsi="Arial" w:cs="Arial"/>
        </w:rPr>
        <w:t xml:space="preserve">based roles, with evidence of building and sustaining effective partnerships over </w:t>
      </w:r>
      <w:r w:rsidR="00F26196" w:rsidRPr="00DA6B1A">
        <w:rPr>
          <w:rFonts w:ascii="Arial" w:eastAsia="Arial" w:hAnsi="Arial" w:cs="Arial"/>
        </w:rPr>
        <w:t>time.</w:t>
      </w:r>
    </w:p>
    <w:p w14:paraId="747D37A6" w14:textId="7C851F29" w:rsidR="5EECFC3B" w:rsidRPr="00DA6B1A" w:rsidRDefault="6CC37155" w:rsidP="5EECFC3B">
      <w:pPr>
        <w:numPr>
          <w:ilvl w:val="0"/>
          <w:numId w:val="15"/>
        </w:numPr>
        <w:spacing w:after="160" w:line="259" w:lineRule="auto"/>
        <w:rPr>
          <w:rFonts w:ascii="Arial" w:eastAsia="Arial" w:hAnsi="Arial" w:cs="Arial"/>
        </w:rPr>
      </w:pPr>
      <w:r w:rsidRPr="00DA6B1A">
        <w:rPr>
          <w:rFonts w:ascii="Arial" w:eastAsia="Arial" w:hAnsi="Arial" w:cs="Arial"/>
        </w:rPr>
        <w:t>Proven ability to build trust, credibility and influence without formal authority, including with senior stakeholders and across organisational boundaries.</w:t>
      </w:r>
    </w:p>
    <w:p w14:paraId="1591DA5D" w14:textId="6EC8F06E" w:rsidR="00D4379E" w:rsidRPr="00DA6B1A" w:rsidRDefault="00D4379E" w:rsidP="00D4379E">
      <w:pPr>
        <w:pStyle w:val="ListParagraph"/>
        <w:numPr>
          <w:ilvl w:val="0"/>
          <w:numId w:val="15"/>
        </w:numPr>
        <w:spacing w:line="300" w:lineRule="atLeast"/>
        <w:rPr>
          <w:rFonts w:ascii="Arial" w:eastAsia="Times New Roman" w:hAnsi="Arial" w:cs="Arial"/>
          <w:lang w:eastAsia="en-GB"/>
        </w:rPr>
      </w:pPr>
      <w:r w:rsidRPr="00DA6B1A">
        <w:rPr>
          <w:rFonts w:ascii="Arial" w:eastAsia="Times New Roman" w:hAnsi="Arial" w:cs="Arial"/>
          <w:lang w:eastAsia="en-GB"/>
        </w:rPr>
        <w:t xml:space="preserve">Strong listening skills </w:t>
      </w:r>
      <w:r w:rsidR="6394F80F" w:rsidRPr="00DA6B1A">
        <w:rPr>
          <w:rFonts w:ascii="Arial" w:eastAsia="Times New Roman" w:hAnsi="Arial" w:cs="Arial"/>
          <w:lang w:eastAsia="en-GB"/>
        </w:rPr>
        <w:t xml:space="preserve">and </w:t>
      </w:r>
      <w:r w:rsidR="430F274E" w:rsidRPr="00DA6B1A">
        <w:rPr>
          <w:rFonts w:ascii="Arial" w:eastAsia="Times New Roman" w:hAnsi="Arial" w:cs="Arial"/>
          <w:lang w:eastAsia="en-GB"/>
        </w:rPr>
        <w:t>analytical</w:t>
      </w:r>
      <w:r w:rsidR="6394F80F" w:rsidRPr="00DA6B1A">
        <w:rPr>
          <w:rFonts w:ascii="Arial" w:eastAsia="Times New Roman" w:hAnsi="Arial" w:cs="Arial"/>
          <w:lang w:eastAsia="en-GB"/>
        </w:rPr>
        <w:t xml:space="preserve"> skills with </w:t>
      </w:r>
      <w:r w:rsidRPr="00DA6B1A">
        <w:rPr>
          <w:rFonts w:ascii="Arial" w:eastAsia="Times New Roman" w:hAnsi="Arial" w:cs="Arial"/>
          <w:lang w:eastAsia="en-GB"/>
        </w:rPr>
        <w:t xml:space="preserve">the ability to make sense of complex or competing </w:t>
      </w:r>
      <w:r w:rsidR="00F26196" w:rsidRPr="00DA6B1A">
        <w:rPr>
          <w:rFonts w:ascii="Arial" w:eastAsia="Times New Roman" w:hAnsi="Arial" w:cs="Arial"/>
          <w:lang w:eastAsia="en-GB"/>
        </w:rPr>
        <w:t>information.</w:t>
      </w:r>
    </w:p>
    <w:p w14:paraId="207642F4" w14:textId="45FFC54A" w:rsidR="19EF5B55" w:rsidRPr="00DA6B1A" w:rsidRDefault="19EF5B55" w:rsidP="19EF5B55">
      <w:pPr>
        <w:pStyle w:val="ListParagraph"/>
        <w:spacing w:line="300" w:lineRule="atLeast"/>
        <w:rPr>
          <w:rFonts w:ascii="Arial" w:eastAsia="Times New Roman" w:hAnsi="Arial" w:cs="Arial"/>
          <w:lang w:eastAsia="en-GB"/>
        </w:rPr>
      </w:pPr>
    </w:p>
    <w:p w14:paraId="2CA61BD6" w14:textId="6055426C" w:rsidR="20B37F28" w:rsidRPr="00DA6B1A" w:rsidRDefault="20B37F28" w:rsidP="6D50ACBC">
      <w:pPr>
        <w:pStyle w:val="ListParagraph"/>
        <w:numPr>
          <w:ilvl w:val="0"/>
          <w:numId w:val="15"/>
        </w:numPr>
        <w:spacing w:line="300" w:lineRule="atLeast"/>
        <w:rPr>
          <w:rFonts w:ascii="Arial" w:eastAsia="Arial" w:hAnsi="Arial" w:cs="Arial"/>
        </w:rPr>
      </w:pPr>
      <w:r w:rsidRPr="00DA6B1A">
        <w:rPr>
          <w:rFonts w:ascii="Arial" w:eastAsia="Arial" w:hAnsi="Arial" w:cs="Arial"/>
        </w:rPr>
        <w:t>Ability to capture and communicate partnership intelligence in a structured way to inform organisational learning, reporting and strategic decision</w:t>
      </w:r>
      <w:r w:rsidRPr="00DA6B1A">
        <w:rPr>
          <w:rFonts w:ascii="Cambria Math" w:eastAsia="Arial" w:hAnsi="Cambria Math" w:cs="Cambria Math"/>
        </w:rPr>
        <w:t>‑</w:t>
      </w:r>
      <w:r w:rsidRPr="00DA6B1A">
        <w:rPr>
          <w:rFonts w:ascii="Arial" w:eastAsia="Arial" w:hAnsi="Arial" w:cs="Arial"/>
        </w:rPr>
        <w:t>making.</w:t>
      </w:r>
    </w:p>
    <w:p w14:paraId="5031BAD6" w14:textId="599BE490" w:rsidR="1241FADF" w:rsidRPr="00DA6B1A" w:rsidRDefault="1241FADF" w:rsidP="165FF749">
      <w:pPr>
        <w:pStyle w:val="ListParagraph"/>
        <w:spacing w:line="300" w:lineRule="atLeast"/>
        <w:rPr>
          <w:rFonts w:ascii="Arial" w:eastAsia="Arial" w:hAnsi="Arial" w:cs="Arial"/>
        </w:rPr>
      </w:pPr>
    </w:p>
    <w:p w14:paraId="7B2E5754" w14:textId="0E7B3B85" w:rsidR="5E76EE2E" w:rsidRPr="00DA6B1A" w:rsidRDefault="5E76EE2E" w:rsidP="6513A3E3">
      <w:pPr>
        <w:pStyle w:val="ListParagraph"/>
        <w:numPr>
          <w:ilvl w:val="0"/>
          <w:numId w:val="15"/>
        </w:numPr>
        <w:spacing w:line="300" w:lineRule="atLeast"/>
        <w:rPr>
          <w:rFonts w:ascii="Arial" w:eastAsia="Arial Nova" w:hAnsi="Arial" w:cs="Arial"/>
        </w:rPr>
      </w:pPr>
      <w:r w:rsidRPr="00DA6B1A">
        <w:rPr>
          <w:rFonts w:ascii="Arial" w:eastAsia="Arial Nova" w:hAnsi="Arial" w:cs="Arial"/>
        </w:rPr>
        <w:t>Experience of working across complex systems or place</w:t>
      </w:r>
      <w:r w:rsidRPr="00DA6B1A">
        <w:rPr>
          <w:rFonts w:ascii="Cambria Math" w:eastAsia="Arial Nova" w:hAnsi="Cambria Math" w:cs="Cambria Math"/>
        </w:rPr>
        <w:t>‑</w:t>
      </w:r>
      <w:r w:rsidRPr="00DA6B1A">
        <w:rPr>
          <w:rFonts w:ascii="Arial" w:eastAsia="Arial Nova" w:hAnsi="Arial" w:cs="Arial"/>
        </w:rPr>
        <w:t>based environments, with the ability to navigate ambiguity, competing priorities and differing perspectives</w:t>
      </w:r>
    </w:p>
    <w:p w14:paraId="25F96EEE" w14:textId="61399A90" w:rsidR="74BC08E3" w:rsidRPr="00DA6B1A" w:rsidRDefault="74BC08E3" w:rsidP="716BCED3">
      <w:pPr>
        <w:spacing w:line="300" w:lineRule="atLeast"/>
        <w:rPr>
          <w:rFonts w:ascii="Arial" w:eastAsia="Arial" w:hAnsi="Arial" w:cs="Arial"/>
        </w:rPr>
      </w:pPr>
    </w:p>
    <w:p w14:paraId="7E3FB73B" w14:textId="73CE66D5" w:rsidR="325CB68E" w:rsidRPr="00834DBF" w:rsidRDefault="30CEC5F9" w:rsidP="43A4A054">
      <w:pPr>
        <w:pStyle w:val="ListParagraph"/>
        <w:numPr>
          <w:ilvl w:val="0"/>
          <w:numId w:val="15"/>
        </w:numPr>
        <w:spacing w:line="300" w:lineRule="atLeast"/>
        <w:rPr>
          <w:rFonts w:ascii="Arial" w:eastAsia="Arial" w:hAnsi="Arial" w:cs="Arial"/>
        </w:rPr>
      </w:pPr>
      <w:r w:rsidRPr="00DA6B1A">
        <w:rPr>
          <w:rFonts w:ascii="Arial" w:eastAsia="Segoe UI" w:hAnsi="Arial" w:cs="Arial"/>
        </w:rPr>
        <w:t>Highly organised, with experience of maintaining accurate records of partnership activity, intelligence and engagement (including CRM or similar systems)</w:t>
      </w:r>
    </w:p>
    <w:p w14:paraId="5F51DB8E" w14:textId="77777777" w:rsidR="00834DBF" w:rsidRPr="00834DBF" w:rsidRDefault="00834DBF" w:rsidP="00834DBF">
      <w:pPr>
        <w:spacing w:line="300" w:lineRule="atLeast"/>
        <w:rPr>
          <w:rFonts w:ascii="Arial" w:eastAsia="Arial" w:hAnsi="Arial" w:cs="Arial"/>
        </w:rPr>
      </w:pPr>
    </w:p>
    <w:p w14:paraId="5EA1F909" w14:textId="3A3D50C3" w:rsidR="001F55FE" w:rsidRPr="00DA6B1A" w:rsidRDefault="00C158D8" w:rsidP="001F55FE">
      <w:pPr>
        <w:numPr>
          <w:ilvl w:val="0"/>
          <w:numId w:val="15"/>
        </w:numPr>
        <w:spacing w:after="160" w:line="259" w:lineRule="auto"/>
        <w:rPr>
          <w:rFonts w:ascii="Arial" w:hAnsi="Arial" w:cs="Arial"/>
        </w:rPr>
      </w:pPr>
      <w:r w:rsidRPr="00DA6B1A">
        <w:rPr>
          <w:rFonts w:ascii="Arial" w:hAnsi="Arial" w:cs="Arial"/>
        </w:rPr>
        <w:t>Commitment to TLC’s values, ethical alignment and safeguarding responsibilities.</w:t>
      </w:r>
    </w:p>
    <w:p w14:paraId="7CB7B2CD" w14:textId="77777777" w:rsidR="00C158D8" w:rsidRPr="00DA6B1A" w:rsidRDefault="00C158D8" w:rsidP="00C158D8">
      <w:pPr>
        <w:rPr>
          <w:rFonts w:ascii="Arial" w:eastAsia="Arial Nova" w:hAnsi="Arial" w:cs="Arial"/>
        </w:rPr>
      </w:pPr>
      <w:r w:rsidRPr="00DA6B1A">
        <w:rPr>
          <w:rFonts w:ascii="Arial" w:hAnsi="Arial" w:cs="Arial"/>
          <w:b/>
          <w:bCs/>
        </w:rPr>
        <w:t>Des</w:t>
      </w:r>
      <w:r w:rsidRPr="00DA6B1A">
        <w:rPr>
          <w:rFonts w:ascii="Arial" w:hAnsi="Arial" w:cs="Arial"/>
          <w:b/>
        </w:rPr>
        <w:t>irab</w:t>
      </w:r>
      <w:r w:rsidRPr="00DA6B1A">
        <w:rPr>
          <w:rFonts w:ascii="Arial" w:eastAsia="Arial Nova" w:hAnsi="Arial" w:cs="Arial"/>
          <w:b/>
        </w:rPr>
        <w:t>le</w:t>
      </w:r>
    </w:p>
    <w:p w14:paraId="2E955D28" w14:textId="496B47E9" w:rsidR="6F640523" w:rsidRPr="00DA6B1A" w:rsidRDefault="4ADE6108" w:rsidP="277D2818">
      <w:pPr>
        <w:numPr>
          <w:ilvl w:val="0"/>
          <w:numId w:val="7"/>
        </w:numPr>
        <w:spacing w:after="160" w:line="259" w:lineRule="auto"/>
        <w:rPr>
          <w:rFonts w:ascii="Arial" w:eastAsia="Arial Nova" w:hAnsi="Arial" w:cs="Arial"/>
        </w:rPr>
      </w:pPr>
      <w:r w:rsidRPr="00DA6B1A">
        <w:rPr>
          <w:rFonts w:ascii="Arial" w:eastAsia="Arial Nova" w:hAnsi="Arial" w:cs="Arial"/>
        </w:rPr>
        <w:t>Experience working within or alongside health, social care, local authority, VCSE or commissioning systems.</w:t>
      </w:r>
    </w:p>
    <w:p w14:paraId="6F4275AC" w14:textId="687258A9" w:rsidR="0071580D" w:rsidRPr="00DA6B1A" w:rsidRDefault="2950F174" w:rsidP="00E578AD">
      <w:pPr>
        <w:numPr>
          <w:ilvl w:val="0"/>
          <w:numId w:val="7"/>
        </w:numPr>
        <w:spacing w:after="160" w:line="259" w:lineRule="auto"/>
        <w:jc w:val="both"/>
        <w:rPr>
          <w:rFonts w:ascii="Arial" w:eastAsia="Arial Nova" w:hAnsi="Arial" w:cs="Arial"/>
        </w:rPr>
      </w:pPr>
      <w:r w:rsidRPr="00DA6B1A">
        <w:rPr>
          <w:rFonts w:ascii="Arial" w:eastAsia="Arial Nova" w:hAnsi="Arial" w:cs="Arial"/>
        </w:rPr>
        <w:t xml:space="preserve">Understanding of local and regional funding environments, including how decisions are shaped and </w:t>
      </w:r>
      <w:r w:rsidR="00DA6B1A" w:rsidRPr="00DA6B1A">
        <w:rPr>
          <w:rFonts w:ascii="Arial" w:eastAsia="Arial Nova" w:hAnsi="Arial" w:cs="Arial"/>
        </w:rPr>
        <w:t>influenced.</w:t>
      </w:r>
    </w:p>
    <w:p w14:paraId="6B699379" w14:textId="0CDD3ECF" w:rsidR="0071580D" w:rsidRPr="00DA6B1A" w:rsidRDefault="00C158D8" w:rsidP="00E578AD">
      <w:pPr>
        <w:numPr>
          <w:ilvl w:val="0"/>
          <w:numId w:val="7"/>
        </w:numPr>
        <w:spacing w:after="160" w:line="259" w:lineRule="auto"/>
        <w:jc w:val="both"/>
        <w:rPr>
          <w:rFonts w:ascii="Arial" w:eastAsia="Arial Nova" w:hAnsi="Arial" w:cs="Arial"/>
        </w:rPr>
      </w:pPr>
      <w:r w:rsidRPr="00DA6B1A">
        <w:rPr>
          <w:rFonts w:ascii="Arial" w:eastAsia="Arial Nova" w:hAnsi="Arial" w:cs="Arial"/>
        </w:rPr>
        <w:t>Experience supporting or coordinating networks or communities of practice</w:t>
      </w:r>
      <w:r w:rsidR="00DA6B1A">
        <w:rPr>
          <w:rFonts w:ascii="Arial" w:eastAsia="Arial Nova" w:hAnsi="Arial" w:cs="Arial"/>
        </w:rPr>
        <w:t>.</w:t>
      </w:r>
    </w:p>
    <w:p w14:paraId="0C781417" w14:textId="0B1A77B5" w:rsidR="578E88F5" w:rsidRPr="00DA6B1A" w:rsidRDefault="578E88F5" w:rsidP="593BBC91">
      <w:pPr>
        <w:numPr>
          <w:ilvl w:val="0"/>
          <w:numId w:val="7"/>
        </w:numPr>
        <w:spacing w:after="160" w:line="259" w:lineRule="auto"/>
        <w:jc w:val="both"/>
        <w:rPr>
          <w:rFonts w:ascii="Arial" w:eastAsia="Arial Nova" w:hAnsi="Arial" w:cs="Arial"/>
        </w:rPr>
      </w:pPr>
      <w:r w:rsidRPr="00DA6B1A">
        <w:rPr>
          <w:rFonts w:ascii="Arial" w:eastAsia="Arial Nova" w:hAnsi="Arial" w:cs="Arial"/>
        </w:rPr>
        <w:t>Experience contributing to organisational influence, policy shaping or external positioning through partnership insight.</w:t>
      </w:r>
    </w:p>
    <w:p w14:paraId="0A6959E7" w14:textId="5E060EA5" w:rsidR="00664B24" w:rsidRPr="00DA6B1A" w:rsidRDefault="00664B24" w:rsidP="285D2FB4">
      <w:pPr>
        <w:spacing w:after="160" w:line="259" w:lineRule="auto"/>
        <w:ind w:left="720"/>
        <w:jc w:val="both"/>
        <w:rPr>
          <w:rFonts w:ascii="Arial" w:hAnsi="Arial" w:cs="Arial"/>
        </w:rPr>
      </w:pPr>
    </w:p>
    <w:sectPr w:rsidR="00664B24" w:rsidRPr="00DA6B1A" w:rsidSect="00A42926">
      <w:headerReference w:type="default" r:id="rId11"/>
      <w:footerReference w:type="default" r:id="rId12"/>
      <w:pgSz w:w="11906"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AD9A" w14:textId="77777777" w:rsidR="00EA311D" w:rsidRDefault="00EA311D">
      <w:r>
        <w:separator/>
      </w:r>
    </w:p>
  </w:endnote>
  <w:endnote w:type="continuationSeparator" w:id="0">
    <w:p w14:paraId="21E5BED4" w14:textId="77777777" w:rsidR="00EA311D" w:rsidRDefault="00EA3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ova">
    <w:panose1 w:val="020B0504020202020204"/>
    <w:charset w:val="00"/>
    <w:family w:val="swiss"/>
    <w:pitch w:val="variable"/>
    <w:sig w:usb0="2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A08D" w14:textId="2B50A001" w:rsidR="00295D8E" w:rsidRPr="00EF4B6A" w:rsidRDefault="00B14F89" w:rsidP="008C52A1">
    <w:pPr>
      <w:pStyle w:val="Footer"/>
      <w:rPr>
        <w:rFonts w:ascii="Arial" w:hAnsi="Arial" w:cs="Arial"/>
        <w:b/>
        <w:sz w:val="20"/>
        <w:szCs w:val="20"/>
      </w:rPr>
    </w:pPr>
    <w:r w:rsidRPr="00A6785C">
      <w:rPr>
        <w:rFonts w:ascii="Arial" w:hAnsi="Arial" w:cs="Arial"/>
        <w:sz w:val="20"/>
        <w:szCs w:val="20"/>
      </w:rPr>
      <w:tab/>
    </w:r>
    <w:r w:rsidR="00A6785C">
      <w:rPr>
        <w:rFonts w:ascii="Arial" w:hAnsi="Arial" w:cs="Arial"/>
        <w:sz w:val="20"/>
        <w:szCs w:val="20"/>
      </w:rPr>
      <w:tab/>
    </w:r>
    <w:r w:rsidR="008861A8">
      <w:rPr>
        <w:rFonts w:ascii="Arial" w:hAnsi="Arial" w:cs="Arial"/>
        <w:sz w:val="20"/>
        <w:szCs w:val="20"/>
      </w:rPr>
      <w:t xml:space="preserve">                            </w:t>
    </w:r>
    <w:r w:rsidR="00EF4B6A">
      <w:rPr>
        <w:rFonts w:ascii="Arial" w:hAnsi="Arial" w:cs="Arial"/>
        <w:sz w:val="20"/>
        <w:szCs w:val="20"/>
      </w:rPr>
      <w:t xml:space="preserve">                      </w:t>
    </w:r>
    <w:r w:rsidR="000B645A">
      <w:rPr>
        <w:rFonts w:ascii="Arial" w:hAnsi="Arial" w:cs="Arial"/>
        <w:b/>
        <w:sz w:val="20"/>
        <w:szCs w:val="20"/>
      </w:rPr>
      <w:t xml:space="preserve">May </w:t>
    </w:r>
    <w:r w:rsidR="001F7753">
      <w:rPr>
        <w:rFonts w:ascii="Arial" w:hAnsi="Arial" w:cs="Arial"/>
        <w:b/>
        <w:sz w:val="20"/>
        <w:szCs w:val="20"/>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C7657" w14:textId="77777777" w:rsidR="00EA311D" w:rsidRDefault="00EA311D">
      <w:r>
        <w:separator/>
      </w:r>
    </w:p>
  </w:footnote>
  <w:footnote w:type="continuationSeparator" w:id="0">
    <w:p w14:paraId="7A0C3C41" w14:textId="77777777" w:rsidR="00EA311D" w:rsidRDefault="00EA3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E3411" w14:textId="5A9FEB0E" w:rsidR="009B6884" w:rsidRPr="009B6884" w:rsidRDefault="009B6884">
    <w:pPr>
      <w:pStyle w:val="Header"/>
      <w:rPr>
        <w:rFonts w:ascii="Arial" w:hAnsi="Arial" w:cs="Arial"/>
        <w:b/>
        <w:sz w:val="20"/>
        <w:szCs w:val="20"/>
      </w:rPr>
    </w:pPr>
    <w:r>
      <w:rPr>
        <w:rFonts w:ascii="Arial" w:hAnsi="Arial" w:cs="Arial"/>
        <w:b/>
        <w:sz w:val="20"/>
        <w:szCs w:val="20"/>
      </w:rPr>
      <w:t>TLC: Talk, Listen, Change</w:t>
    </w:r>
    <w:r>
      <w:rPr>
        <w:rFonts w:ascii="Arial" w:hAnsi="Arial" w:cs="Arial"/>
        <w:b/>
        <w:sz w:val="20"/>
        <w:szCs w:val="20"/>
      </w:rPr>
      <w:tab/>
    </w:r>
    <w:r>
      <w:rPr>
        <w:rFonts w:ascii="Arial" w:hAnsi="Arial" w:cs="Arial"/>
        <w:b/>
        <w:sz w:val="20"/>
        <w:szCs w:val="20"/>
      </w:rPr>
      <w:tab/>
    </w:r>
    <w:r w:rsidR="00D34D5A">
      <w:rPr>
        <w:rFonts w:ascii="Arial" w:hAnsi="Arial" w:cs="Arial"/>
        <w:b/>
        <w:sz w:val="20"/>
        <w:szCs w:val="20"/>
      </w:rPr>
      <w:t xml:space="preserve">Partnerships </w:t>
    </w:r>
    <w:r w:rsidR="001F7753">
      <w:rPr>
        <w:rFonts w:ascii="Arial" w:hAnsi="Arial" w:cs="Arial"/>
        <w:b/>
        <w:sz w:val="20"/>
        <w:szCs w:val="20"/>
      </w:rPr>
      <w:t>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0A0"/>
    <w:multiLevelType w:val="multilevel"/>
    <w:tmpl w:val="6BE228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01414"/>
    <w:multiLevelType w:val="multilevel"/>
    <w:tmpl w:val="F210E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5675B"/>
    <w:multiLevelType w:val="hybridMultilevel"/>
    <w:tmpl w:val="A544B4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37553"/>
    <w:multiLevelType w:val="hybridMultilevel"/>
    <w:tmpl w:val="61BE3C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56ED9"/>
    <w:multiLevelType w:val="hybridMultilevel"/>
    <w:tmpl w:val="8E7EF87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370380A"/>
    <w:multiLevelType w:val="hybridMultilevel"/>
    <w:tmpl w:val="B330E558"/>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4CA039A"/>
    <w:multiLevelType w:val="hybridMultilevel"/>
    <w:tmpl w:val="A0E6489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AB2ADD"/>
    <w:multiLevelType w:val="hybridMultilevel"/>
    <w:tmpl w:val="94761578"/>
    <w:lvl w:ilvl="0" w:tplc="6CD8272A">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846C70"/>
    <w:multiLevelType w:val="multilevel"/>
    <w:tmpl w:val="C172E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48067E"/>
    <w:multiLevelType w:val="hybridMultilevel"/>
    <w:tmpl w:val="5BAAEC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62C7CAE"/>
    <w:multiLevelType w:val="hybridMultilevel"/>
    <w:tmpl w:val="F95277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5851AC"/>
    <w:multiLevelType w:val="hybridMultilevel"/>
    <w:tmpl w:val="DDDE0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7A58C3"/>
    <w:multiLevelType w:val="multilevel"/>
    <w:tmpl w:val="DD76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862EC2"/>
    <w:multiLevelType w:val="multilevel"/>
    <w:tmpl w:val="27766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A7731A"/>
    <w:multiLevelType w:val="hybridMultilevel"/>
    <w:tmpl w:val="2776344A"/>
    <w:lvl w:ilvl="0" w:tplc="71F4189A">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352E9C"/>
    <w:multiLevelType w:val="multilevel"/>
    <w:tmpl w:val="B8147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723644"/>
    <w:multiLevelType w:val="multilevel"/>
    <w:tmpl w:val="F7E01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5183A"/>
    <w:multiLevelType w:val="hybridMultilevel"/>
    <w:tmpl w:val="0CEE7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57C1F20"/>
    <w:multiLevelType w:val="hybridMultilevel"/>
    <w:tmpl w:val="7598B91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9" w15:restartNumberingAfterBreak="0">
    <w:nsid w:val="67BE3ADC"/>
    <w:multiLevelType w:val="hybridMultilevel"/>
    <w:tmpl w:val="AD2882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8D53A5"/>
    <w:multiLevelType w:val="hybridMultilevel"/>
    <w:tmpl w:val="2EEE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AE0F66"/>
    <w:multiLevelType w:val="hybridMultilevel"/>
    <w:tmpl w:val="02B64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173C99"/>
    <w:multiLevelType w:val="hybridMultilevel"/>
    <w:tmpl w:val="8C4484C8"/>
    <w:lvl w:ilvl="0" w:tplc="62748A6C">
      <w:start w:val="11"/>
      <w:numFmt w:val="decimal"/>
      <w:lvlText w:val="%1."/>
      <w:lvlJc w:val="left"/>
      <w:pPr>
        <w:ind w:left="720" w:hanging="360"/>
      </w:pPr>
      <w:rPr>
        <w:rFonts w:ascii="Arial" w:hAnsi="Arial" w:hint="default"/>
      </w:rPr>
    </w:lvl>
    <w:lvl w:ilvl="1" w:tplc="E47E3560">
      <w:start w:val="1"/>
      <w:numFmt w:val="lowerLetter"/>
      <w:lvlText w:val="%2."/>
      <w:lvlJc w:val="left"/>
      <w:pPr>
        <w:ind w:left="1440" w:hanging="360"/>
      </w:pPr>
    </w:lvl>
    <w:lvl w:ilvl="2" w:tplc="056A342E">
      <w:start w:val="1"/>
      <w:numFmt w:val="lowerRoman"/>
      <w:lvlText w:val="%3."/>
      <w:lvlJc w:val="right"/>
      <w:pPr>
        <w:ind w:left="2160" w:hanging="180"/>
      </w:pPr>
    </w:lvl>
    <w:lvl w:ilvl="3" w:tplc="1D9A199E">
      <w:start w:val="1"/>
      <w:numFmt w:val="decimal"/>
      <w:lvlText w:val="%4."/>
      <w:lvlJc w:val="left"/>
      <w:pPr>
        <w:ind w:left="2880" w:hanging="360"/>
      </w:pPr>
    </w:lvl>
    <w:lvl w:ilvl="4" w:tplc="2F8EB3DE">
      <w:start w:val="1"/>
      <w:numFmt w:val="lowerLetter"/>
      <w:lvlText w:val="%5."/>
      <w:lvlJc w:val="left"/>
      <w:pPr>
        <w:ind w:left="3600" w:hanging="360"/>
      </w:pPr>
    </w:lvl>
    <w:lvl w:ilvl="5" w:tplc="E9E0FB6E">
      <w:start w:val="1"/>
      <w:numFmt w:val="lowerRoman"/>
      <w:lvlText w:val="%6."/>
      <w:lvlJc w:val="right"/>
      <w:pPr>
        <w:ind w:left="4320" w:hanging="180"/>
      </w:pPr>
    </w:lvl>
    <w:lvl w:ilvl="6" w:tplc="63F89CB2">
      <w:start w:val="1"/>
      <w:numFmt w:val="decimal"/>
      <w:lvlText w:val="%7."/>
      <w:lvlJc w:val="left"/>
      <w:pPr>
        <w:ind w:left="5040" w:hanging="360"/>
      </w:pPr>
    </w:lvl>
    <w:lvl w:ilvl="7" w:tplc="F05A530C">
      <w:start w:val="1"/>
      <w:numFmt w:val="lowerLetter"/>
      <w:lvlText w:val="%8."/>
      <w:lvlJc w:val="left"/>
      <w:pPr>
        <w:ind w:left="5760" w:hanging="360"/>
      </w:pPr>
    </w:lvl>
    <w:lvl w:ilvl="8" w:tplc="673ABB7E">
      <w:start w:val="1"/>
      <w:numFmt w:val="lowerRoman"/>
      <w:lvlText w:val="%9."/>
      <w:lvlJc w:val="right"/>
      <w:pPr>
        <w:ind w:left="6480" w:hanging="180"/>
      </w:pPr>
    </w:lvl>
  </w:abstractNum>
  <w:num w:numId="1" w16cid:durableId="1025253639">
    <w:abstractNumId w:val="18"/>
  </w:num>
  <w:num w:numId="2" w16cid:durableId="1202937698">
    <w:abstractNumId w:val="10"/>
  </w:num>
  <w:num w:numId="3" w16cid:durableId="1229460307">
    <w:abstractNumId w:val="21"/>
  </w:num>
  <w:num w:numId="4" w16cid:durableId="1317495189">
    <w:abstractNumId w:val="5"/>
  </w:num>
  <w:num w:numId="5" w16cid:durableId="1318220825">
    <w:abstractNumId w:val="11"/>
  </w:num>
  <w:num w:numId="6" w16cid:durableId="1749887869">
    <w:abstractNumId w:val="13"/>
  </w:num>
  <w:num w:numId="7" w16cid:durableId="1772315889">
    <w:abstractNumId w:val="12"/>
  </w:num>
  <w:num w:numId="8" w16cid:durableId="1812626054">
    <w:abstractNumId w:val="0"/>
  </w:num>
  <w:num w:numId="9" w16cid:durableId="1855344505">
    <w:abstractNumId w:val="9"/>
  </w:num>
  <w:num w:numId="10" w16cid:durableId="1931160506">
    <w:abstractNumId w:val="7"/>
  </w:num>
  <w:num w:numId="11" w16cid:durableId="272177330">
    <w:abstractNumId w:val="19"/>
  </w:num>
  <w:num w:numId="12" w16cid:durableId="280263013">
    <w:abstractNumId w:val="6"/>
  </w:num>
  <w:num w:numId="13" w16cid:durableId="280695645">
    <w:abstractNumId w:val="16"/>
  </w:num>
  <w:num w:numId="14" w16cid:durableId="347870276">
    <w:abstractNumId w:val="3"/>
  </w:num>
  <w:num w:numId="15" w16cid:durableId="400950219">
    <w:abstractNumId w:val="15"/>
  </w:num>
  <w:num w:numId="16" w16cid:durableId="41716777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2636882">
    <w:abstractNumId w:val="20"/>
  </w:num>
  <w:num w:numId="18" w16cid:durableId="672950883">
    <w:abstractNumId w:val="14"/>
  </w:num>
  <w:num w:numId="19" w16cid:durableId="786386595">
    <w:abstractNumId w:val="8"/>
  </w:num>
  <w:num w:numId="20" w16cid:durableId="814027944">
    <w:abstractNumId w:val="1"/>
  </w:num>
  <w:num w:numId="21" w16cid:durableId="814033565">
    <w:abstractNumId w:val="22"/>
  </w:num>
  <w:num w:numId="22" w16cid:durableId="882449774">
    <w:abstractNumId w:val="17"/>
  </w:num>
  <w:num w:numId="23" w16cid:durableId="932281305">
    <w:abstractNumId w:val="4"/>
  </w:num>
  <w:num w:numId="24" w16cid:durableId="9328567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F90"/>
    <w:rsid w:val="00011C66"/>
    <w:rsid w:val="00017445"/>
    <w:rsid w:val="00027F9F"/>
    <w:rsid w:val="00033A09"/>
    <w:rsid w:val="0003607C"/>
    <w:rsid w:val="00055B04"/>
    <w:rsid w:val="00056241"/>
    <w:rsid w:val="000604C0"/>
    <w:rsid w:val="00063C89"/>
    <w:rsid w:val="00064113"/>
    <w:rsid w:val="0006701E"/>
    <w:rsid w:val="000708FE"/>
    <w:rsid w:val="0007567D"/>
    <w:rsid w:val="00077834"/>
    <w:rsid w:val="00077D2D"/>
    <w:rsid w:val="000836E2"/>
    <w:rsid w:val="00083CDE"/>
    <w:rsid w:val="000846E8"/>
    <w:rsid w:val="00090C14"/>
    <w:rsid w:val="00091D47"/>
    <w:rsid w:val="0009473C"/>
    <w:rsid w:val="00095448"/>
    <w:rsid w:val="000A1D93"/>
    <w:rsid w:val="000A4DA6"/>
    <w:rsid w:val="000A77D6"/>
    <w:rsid w:val="000B2F91"/>
    <w:rsid w:val="000B645A"/>
    <w:rsid w:val="000C5A36"/>
    <w:rsid w:val="000C650A"/>
    <w:rsid w:val="000D16CC"/>
    <w:rsid w:val="000D460A"/>
    <w:rsid w:val="000D4FCE"/>
    <w:rsid w:val="000D5A2F"/>
    <w:rsid w:val="000E5E27"/>
    <w:rsid w:val="000F18FD"/>
    <w:rsid w:val="000F31C2"/>
    <w:rsid w:val="00100702"/>
    <w:rsid w:val="00100AD6"/>
    <w:rsid w:val="001066A7"/>
    <w:rsid w:val="001068B7"/>
    <w:rsid w:val="0011297D"/>
    <w:rsid w:val="00113A7E"/>
    <w:rsid w:val="0011445F"/>
    <w:rsid w:val="00115BC2"/>
    <w:rsid w:val="001267F1"/>
    <w:rsid w:val="00126D54"/>
    <w:rsid w:val="001307C1"/>
    <w:rsid w:val="00130FAE"/>
    <w:rsid w:val="00133CDF"/>
    <w:rsid w:val="00136A39"/>
    <w:rsid w:val="00141DFE"/>
    <w:rsid w:val="00142559"/>
    <w:rsid w:val="001435CA"/>
    <w:rsid w:val="00143775"/>
    <w:rsid w:val="00150A56"/>
    <w:rsid w:val="001629D9"/>
    <w:rsid w:val="00164F00"/>
    <w:rsid w:val="00165106"/>
    <w:rsid w:val="001719D9"/>
    <w:rsid w:val="00172E8E"/>
    <w:rsid w:val="00173EBD"/>
    <w:rsid w:val="00187490"/>
    <w:rsid w:val="00191979"/>
    <w:rsid w:val="0019493B"/>
    <w:rsid w:val="00196D3B"/>
    <w:rsid w:val="00197B89"/>
    <w:rsid w:val="001A037C"/>
    <w:rsid w:val="001A2AE7"/>
    <w:rsid w:val="001A4AD9"/>
    <w:rsid w:val="001A5932"/>
    <w:rsid w:val="001A66C1"/>
    <w:rsid w:val="001A722D"/>
    <w:rsid w:val="001A7FCE"/>
    <w:rsid w:val="001C1539"/>
    <w:rsid w:val="001C330A"/>
    <w:rsid w:val="001C7DB5"/>
    <w:rsid w:val="001D0392"/>
    <w:rsid w:val="001D1E88"/>
    <w:rsid w:val="001D3EEC"/>
    <w:rsid w:val="001D5792"/>
    <w:rsid w:val="001E07ED"/>
    <w:rsid w:val="001E3E37"/>
    <w:rsid w:val="001E5BB6"/>
    <w:rsid w:val="001E61F2"/>
    <w:rsid w:val="001E7E5B"/>
    <w:rsid w:val="001F281E"/>
    <w:rsid w:val="001F2BFC"/>
    <w:rsid w:val="001F4D8C"/>
    <w:rsid w:val="001F55FE"/>
    <w:rsid w:val="001F7753"/>
    <w:rsid w:val="001F7D26"/>
    <w:rsid w:val="002039E2"/>
    <w:rsid w:val="0021477C"/>
    <w:rsid w:val="00215D7E"/>
    <w:rsid w:val="00217895"/>
    <w:rsid w:val="00231F2A"/>
    <w:rsid w:val="00232335"/>
    <w:rsid w:val="00232D5D"/>
    <w:rsid w:val="00234C05"/>
    <w:rsid w:val="00234E1A"/>
    <w:rsid w:val="0023512C"/>
    <w:rsid w:val="00241650"/>
    <w:rsid w:val="00244A0B"/>
    <w:rsid w:val="00244C5C"/>
    <w:rsid w:val="002511C6"/>
    <w:rsid w:val="00261036"/>
    <w:rsid w:val="002704EC"/>
    <w:rsid w:val="00270F76"/>
    <w:rsid w:val="00274B94"/>
    <w:rsid w:val="00276B71"/>
    <w:rsid w:val="002775C4"/>
    <w:rsid w:val="00277F96"/>
    <w:rsid w:val="002805A8"/>
    <w:rsid w:val="00282040"/>
    <w:rsid w:val="00283F91"/>
    <w:rsid w:val="0029156B"/>
    <w:rsid w:val="00292955"/>
    <w:rsid w:val="00292C14"/>
    <w:rsid w:val="00292C19"/>
    <w:rsid w:val="00295636"/>
    <w:rsid w:val="00295D8E"/>
    <w:rsid w:val="00296D68"/>
    <w:rsid w:val="00296FF2"/>
    <w:rsid w:val="002971D4"/>
    <w:rsid w:val="002A1522"/>
    <w:rsid w:val="002A6AF3"/>
    <w:rsid w:val="002B3FF3"/>
    <w:rsid w:val="002C08B2"/>
    <w:rsid w:val="002C3494"/>
    <w:rsid w:val="002C59B1"/>
    <w:rsid w:val="002C6E74"/>
    <w:rsid w:val="002D07F1"/>
    <w:rsid w:val="002D357F"/>
    <w:rsid w:val="002D3781"/>
    <w:rsid w:val="002D4B97"/>
    <w:rsid w:val="002D4F5B"/>
    <w:rsid w:val="002D6200"/>
    <w:rsid w:val="002E344C"/>
    <w:rsid w:val="002E4EB8"/>
    <w:rsid w:val="002F7E5F"/>
    <w:rsid w:val="003016A4"/>
    <w:rsid w:val="00306573"/>
    <w:rsid w:val="0031207F"/>
    <w:rsid w:val="00312DFC"/>
    <w:rsid w:val="00314E3F"/>
    <w:rsid w:val="00320C48"/>
    <w:rsid w:val="00330733"/>
    <w:rsid w:val="00332957"/>
    <w:rsid w:val="00333782"/>
    <w:rsid w:val="0033535B"/>
    <w:rsid w:val="0033696B"/>
    <w:rsid w:val="00353CC3"/>
    <w:rsid w:val="003620A6"/>
    <w:rsid w:val="00363AC0"/>
    <w:rsid w:val="00364330"/>
    <w:rsid w:val="00373215"/>
    <w:rsid w:val="00374DC9"/>
    <w:rsid w:val="0038637B"/>
    <w:rsid w:val="003867A0"/>
    <w:rsid w:val="00393262"/>
    <w:rsid w:val="0039606A"/>
    <w:rsid w:val="0039646C"/>
    <w:rsid w:val="003A2BC3"/>
    <w:rsid w:val="003A3907"/>
    <w:rsid w:val="003B0273"/>
    <w:rsid w:val="003B0BE1"/>
    <w:rsid w:val="003B2FAD"/>
    <w:rsid w:val="003B3828"/>
    <w:rsid w:val="003B3881"/>
    <w:rsid w:val="003B516A"/>
    <w:rsid w:val="003C04F5"/>
    <w:rsid w:val="003D275A"/>
    <w:rsid w:val="003D776C"/>
    <w:rsid w:val="003E0CF2"/>
    <w:rsid w:val="003E0E0F"/>
    <w:rsid w:val="003E46A9"/>
    <w:rsid w:val="003E788C"/>
    <w:rsid w:val="003F0297"/>
    <w:rsid w:val="0040061A"/>
    <w:rsid w:val="004076B1"/>
    <w:rsid w:val="004113FF"/>
    <w:rsid w:val="00413941"/>
    <w:rsid w:val="00414564"/>
    <w:rsid w:val="0042549F"/>
    <w:rsid w:val="004266E7"/>
    <w:rsid w:val="0042684B"/>
    <w:rsid w:val="004329A0"/>
    <w:rsid w:val="0043592D"/>
    <w:rsid w:val="00435AD5"/>
    <w:rsid w:val="00440B0E"/>
    <w:rsid w:val="004524C3"/>
    <w:rsid w:val="00452C39"/>
    <w:rsid w:val="004572EA"/>
    <w:rsid w:val="004578E9"/>
    <w:rsid w:val="00457AE6"/>
    <w:rsid w:val="0046026F"/>
    <w:rsid w:val="004609E8"/>
    <w:rsid w:val="00463AAB"/>
    <w:rsid w:val="004644F2"/>
    <w:rsid w:val="00465E8E"/>
    <w:rsid w:val="0047197D"/>
    <w:rsid w:val="00472C26"/>
    <w:rsid w:val="00472C60"/>
    <w:rsid w:val="004744F4"/>
    <w:rsid w:val="00474536"/>
    <w:rsid w:val="0047663E"/>
    <w:rsid w:val="00480D89"/>
    <w:rsid w:val="00481A5C"/>
    <w:rsid w:val="00482BE8"/>
    <w:rsid w:val="0048322F"/>
    <w:rsid w:val="00492CC6"/>
    <w:rsid w:val="004A14FF"/>
    <w:rsid w:val="004A401B"/>
    <w:rsid w:val="004A6532"/>
    <w:rsid w:val="004B34F3"/>
    <w:rsid w:val="004B3730"/>
    <w:rsid w:val="004B495C"/>
    <w:rsid w:val="004B6484"/>
    <w:rsid w:val="004B6719"/>
    <w:rsid w:val="004C090E"/>
    <w:rsid w:val="004C6BAF"/>
    <w:rsid w:val="004D280F"/>
    <w:rsid w:val="004D5CE6"/>
    <w:rsid w:val="004D69BC"/>
    <w:rsid w:val="004D712D"/>
    <w:rsid w:val="004E124E"/>
    <w:rsid w:val="004E6A4E"/>
    <w:rsid w:val="0050175B"/>
    <w:rsid w:val="00503AE7"/>
    <w:rsid w:val="00503C75"/>
    <w:rsid w:val="005066DC"/>
    <w:rsid w:val="005143A2"/>
    <w:rsid w:val="005170DA"/>
    <w:rsid w:val="00517DD2"/>
    <w:rsid w:val="00524B68"/>
    <w:rsid w:val="00530535"/>
    <w:rsid w:val="00537187"/>
    <w:rsid w:val="00540235"/>
    <w:rsid w:val="00544877"/>
    <w:rsid w:val="005459FD"/>
    <w:rsid w:val="005459FE"/>
    <w:rsid w:val="005500D0"/>
    <w:rsid w:val="0055332A"/>
    <w:rsid w:val="00564643"/>
    <w:rsid w:val="00575E85"/>
    <w:rsid w:val="00576DF7"/>
    <w:rsid w:val="005836D0"/>
    <w:rsid w:val="00584478"/>
    <w:rsid w:val="00586C1C"/>
    <w:rsid w:val="00594392"/>
    <w:rsid w:val="005A460E"/>
    <w:rsid w:val="005A4C5B"/>
    <w:rsid w:val="005B26D2"/>
    <w:rsid w:val="005B3560"/>
    <w:rsid w:val="005B59B3"/>
    <w:rsid w:val="005B6E0A"/>
    <w:rsid w:val="005C3635"/>
    <w:rsid w:val="005C3787"/>
    <w:rsid w:val="005C6DE9"/>
    <w:rsid w:val="005C7063"/>
    <w:rsid w:val="005D61F3"/>
    <w:rsid w:val="005D750E"/>
    <w:rsid w:val="005E2495"/>
    <w:rsid w:val="005E6369"/>
    <w:rsid w:val="005E6E10"/>
    <w:rsid w:val="005E7039"/>
    <w:rsid w:val="005F6296"/>
    <w:rsid w:val="005F646F"/>
    <w:rsid w:val="005F779C"/>
    <w:rsid w:val="00603F1D"/>
    <w:rsid w:val="006044B0"/>
    <w:rsid w:val="00605B68"/>
    <w:rsid w:val="006109BC"/>
    <w:rsid w:val="0061200E"/>
    <w:rsid w:val="006153E8"/>
    <w:rsid w:val="00615D72"/>
    <w:rsid w:val="006231E2"/>
    <w:rsid w:val="00624065"/>
    <w:rsid w:val="00632C8B"/>
    <w:rsid w:val="0063317B"/>
    <w:rsid w:val="0063357A"/>
    <w:rsid w:val="0063366A"/>
    <w:rsid w:val="00636997"/>
    <w:rsid w:val="00636BE8"/>
    <w:rsid w:val="00637E75"/>
    <w:rsid w:val="00640070"/>
    <w:rsid w:val="00643890"/>
    <w:rsid w:val="00645815"/>
    <w:rsid w:val="00645D06"/>
    <w:rsid w:val="00652939"/>
    <w:rsid w:val="00655C04"/>
    <w:rsid w:val="0066338F"/>
    <w:rsid w:val="00664B24"/>
    <w:rsid w:val="006756DE"/>
    <w:rsid w:val="00675A7D"/>
    <w:rsid w:val="006804D7"/>
    <w:rsid w:val="006838F3"/>
    <w:rsid w:val="006869F0"/>
    <w:rsid w:val="006A3BF5"/>
    <w:rsid w:val="006B05D5"/>
    <w:rsid w:val="006C0863"/>
    <w:rsid w:val="006C3105"/>
    <w:rsid w:val="006C6BDC"/>
    <w:rsid w:val="006D44E1"/>
    <w:rsid w:val="006D61D4"/>
    <w:rsid w:val="006E5B4D"/>
    <w:rsid w:val="006F2195"/>
    <w:rsid w:val="00701149"/>
    <w:rsid w:val="007145B4"/>
    <w:rsid w:val="0071580D"/>
    <w:rsid w:val="00716F99"/>
    <w:rsid w:val="00721F1D"/>
    <w:rsid w:val="00723884"/>
    <w:rsid w:val="00726747"/>
    <w:rsid w:val="00730238"/>
    <w:rsid w:val="00730729"/>
    <w:rsid w:val="007411F4"/>
    <w:rsid w:val="007424B1"/>
    <w:rsid w:val="00746C7E"/>
    <w:rsid w:val="007505EC"/>
    <w:rsid w:val="00770FB3"/>
    <w:rsid w:val="0077170C"/>
    <w:rsid w:val="007749DB"/>
    <w:rsid w:val="00775F27"/>
    <w:rsid w:val="00782AB9"/>
    <w:rsid w:val="00787692"/>
    <w:rsid w:val="0079049A"/>
    <w:rsid w:val="00790729"/>
    <w:rsid w:val="00792048"/>
    <w:rsid w:val="00792784"/>
    <w:rsid w:val="00793CE6"/>
    <w:rsid w:val="00794A97"/>
    <w:rsid w:val="0079539A"/>
    <w:rsid w:val="00795855"/>
    <w:rsid w:val="007A1455"/>
    <w:rsid w:val="007A1765"/>
    <w:rsid w:val="007A292F"/>
    <w:rsid w:val="007A443E"/>
    <w:rsid w:val="007B6E7D"/>
    <w:rsid w:val="007C1558"/>
    <w:rsid w:val="007C261E"/>
    <w:rsid w:val="007C41D2"/>
    <w:rsid w:val="007C7E80"/>
    <w:rsid w:val="007D0FA7"/>
    <w:rsid w:val="007D684E"/>
    <w:rsid w:val="007F3DEB"/>
    <w:rsid w:val="00803EC4"/>
    <w:rsid w:val="00804DC4"/>
    <w:rsid w:val="008106BB"/>
    <w:rsid w:val="0081082D"/>
    <w:rsid w:val="00815B82"/>
    <w:rsid w:val="0082056F"/>
    <w:rsid w:val="008220B8"/>
    <w:rsid w:val="00822E31"/>
    <w:rsid w:val="0082397C"/>
    <w:rsid w:val="00825B12"/>
    <w:rsid w:val="00834DBF"/>
    <w:rsid w:val="008529A8"/>
    <w:rsid w:val="00855D8B"/>
    <w:rsid w:val="00857389"/>
    <w:rsid w:val="00860B4C"/>
    <w:rsid w:val="00860F90"/>
    <w:rsid w:val="00863BC4"/>
    <w:rsid w:val="0086541A"/>
    <w:rsid w:val="00866BD0"/>
    <w:rsid w:val="00870A48"/>
    <w:rsid w:val="00871F46"/>
    <w:rsid w:val="008757ED"/>
    <w:rsid w:val="00877101"/>
    <w:rsid w:val="008807A7"/>
    <w:rsid w:val="00885429"/>
    <w:rsid w:val="008861A8"/>
    <w:rsid w:val="008923A3"/>
    <w:rsid w:val="008A00C2"/>
    <w:rsid w:val="008A14C0"/>
    <w:rsid w:val="008A584A"/>
    <w:rsid w:val="008A69A0"/>
    <w:rsid w:val="008B360D"/>
    <w:rsid w:val="008B4347"/>
    <w:rsid w:val="008B5A45"/>
    <w:rsid w:val="008C12A3"/>
    <w:rsid w:val="008C12CF"/>
    <w:rsid w:val="008C52A1"/>
    <w:rsid w:val="008C6846"/>
    <w:rsid w:val="008C6BA3"/>
    <w:rsid w:val="008D0480"/>
    <w:rsid w:val="008E14B1"/>
    <w:rsid w:val="008E3BB2"/>
    <w:rsid w:val="008E43A7"/>
    <w:rsid w:val="008F116D"/>
    <w:rsid w:val="008F4E19"/>
    <w:rsid w:val="008F7361"/>
    <w:rsid w:val="00903E7E"/>
    <w:rsid w:val="00904540"/>
    <w:rsid w:val="00907118"/>
    <w:rsid w:val="009101C9"/>
    <w:rsid w:val="00910AB2"/>
    <w:rsid w:val="00914C2B"/>
    <w:rsid w:val="009156F2"/>
    <w:rsid w:val="00916C6D"/>
    <w:rsid w:val="00933417"/>
    <w:rsid w:val="00937EE1"/>
    <w:rsid w:val="00940191"/>
    <w:rsid w:val="00940733"/>
    <w:rsid w:val="009516B6"/>
    <w:rsid w:val="009522D3"/>
    <w:rsid w:val="009540C5"/>
    <w:rsid w:val="00956711"/>
    <w:rsid w:val="00960310"/>
    <w:rsid w:val="009622B7"/>
    <w:rsid w:val="009636A2"/>
    <w:rsid w:val="009668D5"/>
    <w:rsid w:val="00974339"/>
    <w:rsid w:val="009762F0"/>
    <w:rsid w:val="00976744"/>
    <w:rsid w:val="0097689B"/>
    <w:rsid w:val="00977CCF"/>
    <w:rsid w:val="00980603"/>
    <w:rsid w:val="00980EF6"/>
    <w:rsid w:val="009820A8"/>
    <w:rsid w:val="009833D4"/>
    <w:rsid w:val="00985633"/>
    <w:rsid w:val="00985DBA"/>
    <w:rsid w:val="00990AAC"/>
    <w:rsid w:val="00991339"/>
    <w:rsid w:val="00991509"/>
    <w:rsid w:val="00991F1E"/>
    <w:rsid w:val="009933C1"/>
    <w:rsid w:val="00993784"/>
    <w:rsid w:val="00995230"/>
    <w:rsid w:val="00995FFC"/>
    <w:rsid w:val="00997E16"/>
    <w:rsid w:val="009A0849"/>
    <w:rsid w:val="009A0D6F"/>
    <w:rsid w:val="009A59A8"/>
    <w:rsid w:val="009A65BD"/>
    <w:rsid w:val="009B12CD"/>
    <w:rsid w:val="009B40A8"/>
    <w:rsid w:val="009B50DB"/>
    <w:rsid w:val="009B53F3"/>
    <w:rsid w:val="009B6884"/>
    <w:rsid w:val="009B6BBA"/>
    <w:rsid w:val="009C2715"/>
    <w:rsid w:val="009C2E88"/>
    <w:rsid w:val="009C4E49"/>
    <w:rsid w:val="009E0688"/>
    <w:rsid w:val="009E10CC"/>
    <w:rsid w:val="009F756E"/>
    <w:rsid w:val="00A00C3C"/>
    <w:rsid w:val="00A01BBB"/>
    <w:rsid w:val="00A06873"/>
    <w:rsid w:val="00A06B13"/>
    <w:rsid w:val="00A07D66"/>
    <w:rsid w:val="00A12CCC"/>
    <w:rsid w:val="00A12D85"/>
    <w:rsid w:val="00A12F5E"/>
    <w:rsid w:val="00A21CBE"/>
    <w:rsid w:val="00A27CF3"/>
    <w:rsid w:val="00A31604"/>
    <w:rsid w:val="00A31719"/>
    <w:rsid w:val="00A31E81"/>
    <w:rsid w:val="00A370D3"/>
    <w:rsid w:val="00A412B5"/>
    <w:rsid w:val="00A417FD"/>
    <w:rsid w:val="00A4191C"/>
    <w:rsid w:val="00A42926"/>
    <w:rsid w:val="00A4576C"/>
    <w:rsid w:val="00A54508"/>
    <w:rsid w:val="00A55485"/>
    <w:rsid w:val="00A55BF8"/>
    <w:rsid w:val="00A57B24"/>
    <w:rsid w:val="00A64DB4"/>
    <w:rsid w:val="00A663D1"/>
    <w:rsid w:val="00A675D2"/>
    <w:rsid w:val="00A6785C"/>
    <w:rsid w:val="00A678ED"/>
    <w:rsid w:val="00A73C6E"/>
    <w:rsid w:val="00A75FD9"/>
    <w:rsid w:val="00A76A68"/>
    <w:rsid w:val="00A9341C"/>
    <w:rsid w:val="00A96A9F"/>
    <w:rsid w:val="00AA0A5D"/>
    <w:rsid w:val="00AA1820"/>
    <w:rsid w:val="00AA1A29"/>
    <w:rsid w:val="00AA2026"/>
    <w:rsid w:val="00AA2DA7"/>
    <w:rsid w:val="00AB2BF7"/>
    <w:rsid w:val="00AB5502"/>
    <w:rsid w:val="00AB5E49"/>
    <w:rsid w:val="00AB6534"/>
    <w:rsid w:val="00AC28C6"/>
    <w:rsid w:val="00AC5060"/>
    <w:rsid w:val="00AD09B7"/>
    <w:rsid w:val="00AD5C36"/>
    <w:rsid w:val="00AE6050"/>
    <w:rsid w:val="00AE7D54"/>
    <w:rsid w:val="00AF1FFA"/>
    <w:rsid w:val="00AF319F"/>
    <w:rsid w:val="00AF3ACF"/>
    <w:rsid w:val="00AF60B6"/>
    <w:rsid w:val="00B01374"/>
    <w:rsid w:val="00B02D93"/>
    <w:rsid w:val="00B07410"/>
    <w:rsid w:val="00B12CA0"/>
    <w:rsid w:val="00B14F89"/>
    <w:rsid w:val="00B27B87"/>
    <w:rsid w:val="00B31355"/>
    <w:rsid w:val="00B33528"/>
    <w:rsid w:val="00B37098"/>
    <w:rsid w:val="00B40000"/>
    <w:rsid w:val="00B43BB3"/>
    <w:rsid w:val="00B5541F"/>
    <w:rsid w:val="00B5752E"/>
    <w:rsid w:val="00B635B6"/>
    <w:rsid w:val="00B70C59"/>
    <w:rsid w:val="00B758A4"/>
    <w:rsid w:val="00B7698F"/>
    <w:rsid w:val="00B85DCB"/>
    <w:rsid w:val="00B865C3"/>
    <w:rsid w:val="00B91F6E"/>
    <w:rsid w:val="00B925EB"/>
    <w:rsid w:val="00B93B7D"/>
    <w:rsid w:val="00BA092E"/>
    <w:rsid w:val="00BA31A1"/>
    <w:rsid w:val="00BA3882"/>
    <w:rsid w:val="00BA38D4"/>
    <w:rsid w:val="00BB0063"/>
    <w:rsid w:val="00BB7006"/>
    <w:rsid w:val="00BB7C07"/>
    <w:rsid w:val="00BC2E97"/>
    <w:rsid w:val="00BC2EBA"/>
    <w:rsid w:val="00BC57C3"/>
    <w:rsid w:val="00BC6B47"/>
    <w:rsid w:val="00BD20C0"/>
    <w:rsid w:val="00BD762E"/>
    <w:rsid w:val="00BE3134"/>
    <w:rsid w:val="00BE4A5A"/>
    <w:rsid w:val="00BF105E"/>
    <w:rsid w:val="00BF4BB5"/>
    <w:rsid w:val="00BF6143"/>
    <w:rsid w:val="00C02595"/>
    <w:rsid w:val="00C11369"/>
    <w:rsid w:val="00C11BF0"/>
    <w:rsid w:val="00C158D8"/>
    <w:rsid w:val="00C16180"/>
    <w:rsid w:val="00C1706C"/>
    <w:rsid w:val="00C2229C"/>
    <w:rsid w:val="00C30EBA"/>
    <w:rsid w:val="00C43AB2"/>
    <w:rsid w:val="00C4692F"/>
    <w:rsid w:val="00C47EE5"/>
    <w:rsid w:val="00C54190"/>
    <w:rsid w:val="00C55A97"/>
    <w:rsid w:val="00C57AA6"/>
    <w:rsid w:val="00C57ABE"/>
    <w:rsid w:val="00C61759"/>
    <w:rsid w:val="00C63019"/>
    <w:rsid w:val="00C65ACB"/>
    <w:rsid w:val="00C67ED4"/>
    <w:rsid w:val="00C76B68"/>
    <w:rsid w:val="00C76DEB"/>
    <w:rsid w:val="00C82483"/>
    <w:rsid w:val="00C85C8E"/>
    <w:rsid w:val="00C94BED"/>
    <w:rsid w:val="00CA7CB5"/>
    <w:rsid w:val="00CB17A2"/>
    <w:rsid w:val="00CB1FAA"/>
    <w:rsid w:val="00CB4679"/>
    <w:rsid w:val="00CB4DC5"/>
    <w:rsid w:val="00CC03F2"/>
    <w:rsid w:val="00CC2F96"/>
    <w:rsid w:val="00CD2102"/>
    <w:rsid w:val="00CD533A"/>
    <w:rsid w:val="00CD5AEE"/>
    <w:rsid w:val="00CD6322"/>
    <w:rsid w:val="00CD6DA2"/>
    <w:rsid w:val="00CE1DF8"/>
    <w:rsid w:val="00CE233A"/>
    <w:rsid w:val="00CE283F"/>
    <w:rsid w:val="00CF1408"/>
    <w:rsid w:val="00CF16E6"/>
    <w:rsid w:val="00CF26A4"/>
    <w:rsid w:val="00CF4E3A"/>
    <w:rsid w:val="00CF67D6"/>
    <w:rsid w:val="00D00328"/>
    <w:rsid w:val="00D015E1"/>
    <w:rsid w:val="00D04678"/>
    <w:rsid w:val="00D114B3"/>
    <w:rsid w:val="00D123A3"/>
    <w:rsid w:val="00D203E5"/>
    <w:rsid w:val="00D2236D"/>
    <w:rsid w:val="00D26E87"/>
    <w:rsid w:val="00D301F0"/>
    <w:rsid w:val="00D30AB5"/>
    <w:rsid w:val="00D34D5A"/>
    <w:rsid w:val="00D4379E"/>
    <w:rsid w:val="00D44D5A"/>
    <w:rsid w:val="00D45F15"/>
    <w:rsid w:val="00D52E92"/>
    <w:rsid w:val="00D658CC"/>
    <w:rsid w:val="00D733D4"/>
    <w:rsid w:val="00D86B25"/>
    <w:rsid w:val="00D95CB5"/>
    <w:rsid w:val="00D965E4"/>
    <w:rsid w:val="00D970D7"/>
    <w:rsid w:val="00D97A17"/>
    <w:rsid w:val="00DA4BAE"/>
    <w:rsid w:val="00DA503F"/>
    <w:rsid w:val="00DA6B1A"/>
    <w:rsid w:val="00DB57AA"/>
    <w:rsid w:val="00DC1CF6"/>
    <w:rsid w:val="00DC208F"/>
    <w:rsid w:val="00DC3872"/>
    <w:rsid w:val="00DE0591"/>
    <w:rsid w:val="00DE3555"/>
    <w:rsid w:val="00DE4FB0"/>
    <w:rsid w:val="00DE51A5"/>
    <w:rsid w:val="00DE6A5F"/>
    <w:rsid w:val="00DF6F08"/>
    <w:rsid w:val="00E00D75"/>
    <w:rsid w:val="00E03824"/>
    <w:rsid w:val="00E04135"/>
    <w:rsid w:val="00E0434D"/>
    <w:rsid w:val="00E100BE"/>
    <w:rsid w:val="00E20D40"/>
    <w:rsid w:val="00E21B03"/>
    <w:rsid w:val="00E25CDF"/>
    <w:rsid w:val="00E3787E"/>
    <w:rsid w:val="00E52080"/>
    <w:rsid w:val="00E578AD"/>
    <w:rsid w:val="00E7012C"/>
    <w:rsid w:val="00E71308"/>
    <w:rsid w:val="00E7342E"/>
    <w:rsid w:val="00E7562B"/>
    <w:rsid w:val="00E75E8A"/>
    <w:rsid w:val="00E92262"/>
    <w:rsid w:val="00EA075C"/>
    <w:rsid w:val="00EA311D"/>
    <w:rsid w:val="00EA7DF3"/>
    <w:rsid w:val="00ED24D6"/>
    <w:rsid w:val="00ED373D"/>
    <w:rsid w:val="00ED38F1"/>
    <w:rsid w:val="00EE102B"/>
    <w:rsid w:val="00EE34F6"/>
    <w:rsid w:val="00EE578E"/>
    <w:rsid w:val="00EE5DD9"/>
    <w:rsid w:val="00EE786C"/>
    <w:rsid w:val="00EE79AE"/>
    <w:rsid w:val="00EF4449"/>
    <w:rsid w:val="00EF4B6A"/>
    <w:rsid w:val="00EF6C26"/>
    <w:rsid w:val="00EF6F8D"/>
    <w:rsid w:val="00F0000F"/>
    <w:rsid w:val="00F04FD4"/>
    <w:rsid w:val="00F065AE"/>
    <w:rsid w:val="00F12E53"/>
    <w:rsid w:val="00F15A3A"/>
    <w:rsid w:val="00F15FEB"/>
    <w:rsid w:val="00F172AF"/>
    <w:rsid w:val="00F20100"/>
    <w:rsid w:val="00F22E4A"/>
    <w:rsid w:val="00F26196"/>
    <w:rsid w:val="00F348A2"/>
    <w:rsid w:val="00F37149"/>
    <w:rsid w:val="00F44C48"/>
    <w:rsid w:val="00F534D7"/>
    <w:rsid w:val="00F547C3"/>
    <w:rsid w:val="00F571FF"/>
    <w:rsid w:val="00F66C83"/>
    <w:rsid w:val="00F67D17"/>
    <w:rsid w:val="00F718A1"/>
    <w:rsid w:val="00F73A56"/>
    <w:rsid w:val="00F7526F"/>
    <w:rsid w:val="00F8200F"/>
    <w:rsid w:val="00F849B3"/>
    <w:rsid w:val="00F87D55"/>
    <w:rsid w:val="00F90CFA"/>
    <w:rsid w:val="00F9169A"/>
    <w:rsid w:val="00F92341"/>
    <w:rsid w:val="00FA3B49"/>
    <w:rsid w:val="00FA6F7B"/>
    <w:rsid w:val="00FA7BAA"/>
    <w:rsid w:val="00FB488A"/>
    <w:rsid w:val="00FB62B5"/>
    <w:rsid w:val="00FB7230"/>
    <w:rsid w:val="00FC42CC"/>
    <w:rsid w:val="00FC46D1"/>
    <w:rsid w:val="00FC4C20"/>
    <w:rsid w:val="00FD7292"/>
    <w:rsid w:val="00FF22D1"/>
    <w:rsid w:val="00FF4B2D"/>
    <w:rsid w:val="00FF57FC"/>
    <w:rsid w:val="00FF7605"/>
    <w:rsid w:val="00FF765B"/>
    <w:rsid w:val="01432826"/>
    <w:rsid w:val="03565AE2"/>
    <w:rsid w:val="036F9365"/>
    <w:rsid w:val="03A976FD"/>
    <w:rsid w:val="041D2905"/>
    <w:rsid w:val="043F1BF6"/>
    <w:rsid w:val="06241107"/>
    <w:rsid w:val="0A257B08"/>
    <w:rsid w:val="0ADCA7D9"/>
    <w:rsid w:val="0B7CF6DE"/>
    <w:rsid w:val="0B8B5059"/>
    <w:rsid w:val="0C01440B"/>
    <w:rsid w:val="0C098F11"/>
    <w:rsid w:val="0D3FDA1F"/>
    <w:rsid w:val="0E389F05"/>
    <w:rsid w:val="0E98FB83"/>
    <w:rsid w:val="0FA86431"/>
    <w:rsid w:val="10F1BB37"/>
    <w:rsid w:val="1157B4E6"/>
    <w:rsid w:val="1241FADF"/>
    <w:rsid w:val="12B8CE04"/>
    <w:rsid w:val="1386E250"/>
    <w:rsid w:val="145E6768"/>
    <w:rsid w:val="146ACE29"/>
    <w:rsid w:val="14D02167"/>
    <w:rsid w:val="152D1BE2"/>
    <w:rsid w:val="165FF749"/>
    <w:rsid w:val="19EF5B55"/>
    <w:rsid w:val="1A179ACA"/>
    <w:rsid w:val="1A6A7BAB"/>
    <w:rsid w:val="1C1C40D0"/>
    <w:rsid w:val="1C2518DD"/>
    <w:rsid w:val="1CD1432B"/>
    <w:rsid w:val="20B37F28"/>
    <w:rsid w:val="21780082"/>
    <w:rsid w:val="21E4AFCE"/>
    <w:rsid w:val="21E6A287"/>
    <w:rsid w:val="2478AC79"/>
    <w:rsid w:val="24A1AA6B"/>
    <w:rsid w:val="25C60233"/>
    <w:rsid w:val="25C89B58"/>
    <w:rsid w:val="26EC7985"/>
    <w:rsid w:val="277D2818"/>
    <w:rsid w:val="27A6F508"/>
    <w:rsid w:val="285D2FB4"/>
    <w:rsid w:val="28A1C2C1"/>
    <w:rsid w:val="28D2A1B6"/>
    <w:rsid w:val="292CB7B6"/>
    <w:rsid w:val="2950F174"/>
    <w:rsid w:val="298769E0"/>
    <w:rsid w:val="2A079868"/>
    <w:rsid w:val="2A457EDD"/>
    <w:rsid w:val="2BC55D95"/>
    <w:rsid w:val="2C447B36"/>
    <w:rsid w:val="2CE2B3DF"/>
    <w:rsid w:val="2D0AA742"/>
    <w:rsid w:val="2F2E78F2"/>
    <w:rsid w:val="2F7BD7FC"/>
    <w:rsid w:val="2F8DBECD"/>
    <w:rsid w:val="2F97E77C"/>
    <w:rsid w:val="30CC3175"/>
    <w:rsid w:val="30CEC5F9"/>
    <w:rsid w:val="31193BDA"/>
    <w:rsid w:val="31310E40"/>
    <w:rsid w:val="318D9119"/>
    <w:rsid w:val="325C23BD"/>
    <w:rsid w:val="325CB68E"/>
    <w:rsid w:val="328A1B85"/>
    <w:rsid w:val="33552527"/>
    <w:rsid w:val="33C178D7"/>
    <w:rsid w:val="345DA47B"/>
    <w:rsid w:val="3658863F"/>
    <w:rsid w:val="38EB203E"/>
    <w:rsid w:val="3A3A2216"/>
    <w:rsid w:val="3A8425C7"/>
    <w:rsid w:val="3B1E98A3"/>
    <w:rsid w:val="3B3566D8"/>
    <w:rsid w:val="3D170079"/>
    <w:rsid w:val="3E362FCB"/>
    <w:rsid w:val="3F792C87"/>
    <w:rsid w:val="3FE92B7C"/>
    <w:rsid w:val="426A40A9"/>
    <w:rsid w:val="430F274E"/>
    <w:rsid w:val="43540A46"/>
    <w:rsid w:val="43A4A054"/>
    <w:rsid w:val="43EAE144"/>
    <w:rsid w:val="4499EE8B"/>
    <w:rsid w:val="44DFDD6B"/>
    <w:rsid w:val="458E16A3"/>
    <w:rsid w:val="45928E04"/>
    <w:rsid w:val="45C9D60B"/>
    <w:rsid w:val="461029F1"/>
    <w:rsid w:val="461CE96D"/>
    <w:rsid w:val="466FC1A3"/>
    <w:rsid w:val="46B7F9C7"/>
    <w:rsid w:val="46E7104D"/>
    <w:rsid w:val="4ADE6108"/>
    <w:rsid w:val="4BCCC60A"/>
    <w:rsid w:val="4CA1A294"/>
    <w:rsid w:val="4D1300F9"/>
    <w:rsid w:val="4D3B8F0A"/>
    <w:rsid w:val="4ED2B08E"/>
    <w:rsid w:val="4F4BD9DE"/>
    <w:rsid w:val="5002ACF9"/>
    <w:rsid w:val="509A828D"/>
    <w:rsid w:val="51035BF3"/>
    <w:rsid w:val="519CCC28"/>
    <w:rsid w:val="54381FBF"/>
    <w:rsid w:val="54B05389"/>
    <w:rsid w:val="555697F9"/>
    <w:rsid w:val="55D62642"/>
    <w:rsid w:val="578E88F5"/>
    <w:rsid w:val="58B9D967"/>
    <w:rsid w:val="593BBC91"/>
    <w:rsid w:val="59F96224"/>
    <w:rsid w:val="5A2B7DB6"/>
    <w:rsid w:val="5CEB8CCB"/>
    <w:rsid w:val="5E76EE2E"/>
    <w:rsid w:val="5E8C6219"/>
    <w:rsid w:val="5EECFC3B"/>
    <w:rsid w:val="608C088C"/>
    <w:rsid w:val="61BE53A1"/>
    <w:rsid w:val="63076165"/>
    <w:rsid w:val="6394F80F"/>
    <w:rsid w:val="6513A3E3"/>
    <w:rsid w:val="655467CB"/>
    <w:rsid w:val="65AAB33F"/>
    <w:rsid w:val="65B58934"/>
    <w:rsid w:val="67F9490A"/>
    <w:rsid w:val="68D33223"/>
    <w:rsid w:val="6961653D"/>
    <w:rsid w:val="6A922039"/>
    <w:rsid w:val="6AC55271"/>
    <w:rsid w:val="6B42ED25"/>
    <w:rsid w:val="6BC85B24"/>
    <w:rsid w:val="6BE41BC9"/>
    <w:rsid w:val="6C61054B"/>
    <w:rsid w:val="6CC37155"/>
    <w:rsid w:val="6D50ACBC"/>
    <w:rsid w:val="6D926BB4"/>
    <w:rsid w:val="6E2FEBE9"/>
    <w:rsid w:val="6F640523"/>
    <w:rsid w:val="6F6BB21C"/>
    <w:rsid w:val="6FC4FF54"/>
    <w:rsid w:val="70701575"/>
    <w:rsid w:val="716BCED3"/>
    <w:rsid w:val="724E193F"/>
    <w:rsid w:val="741F966E"/>
    <w:rsid w:val="74BC08E3"/>
    <w:rsid w:val="7558E63A"/>
    <w:rsid w:val="77428F78"/>
    <w:rsid w:val="797CD5F1"/>
    <w:rsid w:val="7D621594"/>
    <w:rsid w:val="7D6A3E5B"/>
    <w:rsid w:val="7F704DCF"/>
    <w:rsid w:val="7F9CFB80"/>
    <w:rsid w:val="7FC5ED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7CC17A"/>
  <w15:chartTrackingRefBased/>
  <w15:docId w15:val="{9BD35D68-3277-498C-BEE0-4E9219258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238"/>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0238"/>
    <w:pPr>
      <w:tabs>
        <w:tab w:val="center" w:pos="4153"/>
        <w:tab w:val="right" w:pos="8306"/>
      </w:tabs>
    </w:pPr>
  </w:style>
  <w:style w:type="paragraph" w:styleId="Footer">
    <w:name w:val="footer"/>
    <w:basedOn w:val="Normal"/>
    <w:rsid w:val="00730238"/>
    <w:pPr>
      <w:tabs>
        <w:tab w:val="center" w:pos="4153"/>
        <w:tab w:val="right" w:pos="8306"/>
      </w:tabs>
    </w:pPr>
  </w:style>
  <w:style w:type="paragraph" w:styleId="ListParagraph">
    <w:name w:val="List Paragraph"/>
    <w:basedOn w:val="Normal"/>
    <w:uiPriority w:val="34"/>
    <w:qFormat/>
    <w:rsid w:val="009C4E49"/>
    <w:pPr>
      <w:ind w:left="720"/>
    </w:pPr>
  </w:style>
  <w:style w:type="paragraph" w:styleId="BalloonText">
    <w:name w:val="Balloon Text"/>
    <w:basedOn w:val="Normal"/>
    <w:link w:val="BalloonTextChar"/>
    <w:rsid w:val="00FA6F7B"/>
    <w:rPr>
      <w:rFonts w:ascii="Tahoma" w:hAnsi="Tahoma" w:cs="Tahoma"/>
      <w:sz w:val="16"/>
      <w:szCs w:val="16"/>
    </w:rPr>
  </w:style>
  <w:style w:type="character" w:customStyle="1" w:styleId="BalloonTextChar">
    <w:name w:val="Balloon Text Char"/>
    <w:link w:val="BalloonText"/>
    <w:rsid w:val="00FA6F7B"/>
    <w:rPr>
      <w:rFonts w:ascii="Tahoma" w:hAnsi="Tahoma" w:cs="Tahoma"/>
      <w:sz w:val="16"/>
      <w:szCs w:val="16"/>
      <w:lang w:eastAsia="zh-CN"/>
    </w:rPr>
  </w:style>
  <w:style w:type="character" w:styleId="CommentReference">
    <w:name w:val="annotation reference"/>
    <w:semiHidden/>
    <w:rsid w:val="008A00C2"/>
    <w:rPr>
      <w:sz w:val="16"/>
      <w:szCs w:val="16"/>
    </w:rPr>
  </w:style>
  <w:style w:type="paragraph" w:styleId="CommentText">
    <w:name w:val="annotation text"/>
    <w:basedOn w:val="Normal"/>
    <w:semiHidden/>
    <w:rsid w:val="008A00C2"/>
    <w:rPr>
      <w:sz w:val="20"/>
      <w:szCs w:val="20"/>
    </w:rPr>
  </w:style>
  <w:style w:type="paragraph" w:styleId="CommentSubject">
    <w:name w:val="annotation subject"/>
    <w:basedOn w:val="CommentText"/>
    <w:next w:val="CommentText"/>
    <w:semiHidden/>
    <w:rsid w:val="008A00C2"/>
    <w:rPr>
      <w:b/>
      <w:bCs/>
    </w:rPr>
  </w:style>
  <w:style w:type="paragraph" w:customStyle="1" w:styleId="DefaultText">
    <w:name w:val="Default Text"/>
    <w:basedOn w:val="Normal"/>
    <w:rsid w:val="008B360D"/>
    <w:rPr>
      <w:rFonts w:eastAsia="Times New Roman"/>
      <w:szCs w:val="20"/>
      <w:lang w:eastAsia="en-US"/>
    </w:rPr>
  </w:style>
  <w:style w:type="paragraph" w:customStyle="1" w:styleId="Body">
    <w:name w:val="Body"/>
    <w:rsid w:val="00F9169A"/>
    <w:pPr>
      <w:pBdr>
        <w:top w:val="nil"/>
        <w:left w:val="nil"/>
        <w:bottom w:val="nil"/>
        <w:right w:val="nil"/>
        <w:between w:val="nil"/>
        <w:bar w:val="nil"/>
      </w:pBdr>
    </w:pPr>
    <w:rPr>
      <w:rFonts w:ascii="Helvetica" w:eastAsia="Arial Unicode MS" w:hAnsi="Helvetica" w:cs="Arial Unicode MS"/>
      <w:color w:val="000000"/>
      <w:sz w:val="22"/>
      <w:szCs w:val="22"/>
      <w:bdr w:val="nil"/>
      <w:lang w:val="en-US" w:eastAsia="en-US"/>
    </w:rPr>
  </w:style>
  <w:style w:type="character" w:styleId="Hyperlink">
    <w:name w:val="Hyperlink"/>
    <w:basedOn w:val="DefaultParagraphFont"/>
    <w:uiPriority w:val="99"/>
    <w:unhideWhenUsed/>
    <w:rsid w:val="004D712D"/>
    <w:rPr>
      <w:color w:val="0563C1" w:themeColor="hyperlink"/>
      <w:u w:val="single"/>
    </w:rPr>
  </w:style>
  <w:style w:type="character" w:styleId="UnresolvedMention">
    <w:name w:val="Unresolved Mention"/>
    <w:basedOn w:val="DefaultParagraphFont"/>
    <w:uiPriority w:val="99"/>
    <w:semiHidden/>
    <w:unhideWhenUsed/>
    <w:rsid w:val="004D7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206617">
      <w:bodyDiv w:val="1"/>
      <w:marLeft w:val="0"/>
      <w:marRight w:val="0"/>
      <w:marTop w:val="0"/>
      <w:marBottom w:val="0"/>
      <w:divBdr>
        <w:top w:val="none" w:sz="0" w:space="0" w:color="auto"/>
        <w:left w:val="none" w:sz="0" w:space="0" w:color="auto"/>
        <w:bottom w:val="none" w:sz="0" w:space="0" w:color="auto"/>
        <w:right w:val="none" w:sz="0" w:space="0" w:color="auto"/>
      </w:divBdr>
    </w:div>
    <w:div w:id="1492722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1a0d9-b5f8-40ae-b060-cc2d2699d730">
      <Terms xmlns="http://schemas.microsoft.com/office/infopath/2007/PartnerControls"/>
    </lcf76f155ced4ddcb4097134ff3c332f>
    <TaxCatchAll xmlns="a337e386-1a4e-45f3-8b8e-f01da36e6b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FE9ACAB871C640AA77CBE5993A364A" ma:contentTypeVersion="18" ma:contentTypeDescription="Create a new document." ma:contentTypeScope="" ma:versionID="fc26b0465bc939c4e0c7af1f560154ba">
  <xsd:schema xmlns:xsd="http://www.w3.org/2001/XMLSchema" xmlns:xs="http://www.w3.org/2001/XMLSchema" xmlns:p="http://schemas.microsoft.com/office/2006/metadata/properties" xmlns:ns2="dc01a0d9-b5f8-40ae-b060-cc2d2699d730" xmlns:ns3="a337e386-1a4e-45f3-8b8e-f01da36e6bcb" targetNamespace="http://schemas.microsoft.com/office/2006/metadata/properties" ma:root="true" ma:fieldsID="e25094429bfe2e52102fbd7fa7dab1fe" ns2:_="" ns3:_="">
    <xsd:import namespace="dc01a0d9-b5f8-40ae-b060-cc2d2699d730"/>
    <xsd:import namespace="a337e386-1a4e-45f3-8b8e-f01da36e6b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1a0d9-b5f8-40ae-b060-cc2d2699d7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9eec9f-85e3-4b70-8cc6-2117d341c2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37e386-1a4e-45f3-8b8e-f01da36e6b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5b3223-ca3f-45fc-b0d1-dafa918e9aa5}" ma:internalName="TaxCatchAll" ma:showField="CatchAllData" ma:web="a337e386-1a4e-45f3-8b8e-f01da36e6b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71360F-EF7F-43DD-A1CB-D666D2AA10DC}">
  <ds:schemaRefs>
    <ds:schemaRef ds:uri="http://schemas.openxmlformats.org/officeDocument/2006/bibliography"/>
  </ds:schemaRefs>
</ds:datastoreItem>
</file>

<file path=customXml/itemProps2.xml><?xml version="1.0" encoding="utf-8"?>
<ds:datastoreItem xmlns:ds="http://schemas.openxmlformats.org/officeDocument/2006/customXml" ds:itemID="{B5EA4F71-47D6-4F33-943D-21AF18DCA755}">
  <ds:schemaRefs>
    <ds:schemaRef ds:uri="http://schemas.microsoft.com/office/2006/metadata/properties"/>
    <ds:schemaRef ds:uri="http://schemas.microsoft.com/office/infopath/2007/PartnerControls"/>
    <ds:schemaRef ds:uri="dc01a0d9-b5f8-40ae-b060-cc2d2699d730"/>
    <ds:schemaRef ds:uri="a337e386-1a4e-45f3-8b8e-f01da36e6bcb"/>
  </ds:schemaRefs>
</ds:datastoreItem>
</file>

<file path=customXml/itemProps3.xml><?xml version="1.0" encoding="utf-8"?>
<ds:datastoreItem xmlns:ds="http://schemas.openxmlformats.org/officeDocument/2006/customXml" ds:itemID="{82AAB486-194A-4046-89BD-6A89128392FB}">
  <ds:schemaRefs>
    <ds:schemaRef ds:uri="http://schemas.microsoft.com/sharepoint/v3/contenttype/forms"/>
  </ds:schemaRefs>
</ds:datastoreItem>
</file>

<file path=customXml/itemProps4.xml><?xml version="1.0" encoding="utf-8"?>
<ds:datastoreItem xmlns:ds="http://schemas.openxmlformats.org/officeDocument/2006/customXml" ds:itemID="{F2B7727F-EA8B-4814-8BF6-7376D46E8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1a0d9-b5f8-40ae-b060-cc2d2699d730"/>
    <ds:schemaRef ds:uri="a337e386-1a4e-45f3-8b8e-f01da36e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789</Words>
  <Characters>4500</Characters>
  <Application>Microsoft Office Word</Application>
  <DocSecurity>0</DocSecurity>
  <Lines>37</Lines>
  <Paragraphs>10</Paragraphs>
  <ScaleCrop>false</ScaleCrop>
  <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Michelle</dc:creator>
  <cp:keywords/>
  <cp:lastModifiedBy>Aysha Gibbons</cp:lastModifiedBy>
  <cp:revision>3</cp:revision>
  <cp:lastPrinted>2018-07-19T00:05:00Z</cp:lastPrinted>
  <dcterms:created xsi:type="dcterms:W3CDTF">2026-05-21T12:10:00Z</dcterms:created>
  <dcterms:modified xsi:type="dcterms:W3CDTF">2026-05-21T13:37:00Z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0x010100DBFE9ACAB871C640AA77CBE5993A364A</vt:lpwstr>
  </property>
  <property fmtid="{D5CDD505-2E9C-101B-9397-08002B2CF9AE}" pid="3" name="MediaServiceImageTags">
    <vt:lpwstr/>
  </property>
  <property fmtid="{D5CDD505-2E9C-101B-9397-08002B2CF9AE}" pid="4" name="docLang">
    <vt:lpwstr>en</vt:lpwstr>
  </property>
</Properties>
</file>